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72"/>
          <w:szCs w:val="72"/>
          <w:lang w:eastAsia="zh-CN"/>
        </w:rPr>
      </w:pPr>
      <w:bookmarkStart w:id="0" w:name="_GoBack"/>
      <w:bookmarkEnd w:id="0"/>
    </w:p>
    <w:p>
      <w:pPr>
        <w:pStyle w:val="2"/>
        <w:rPr>
          <w:rFonts w:hint="eastAsia" w:ascii="方正小标宋简体" w:hAnsi="方正小标宋简体" w:eastAsia="方正小标宋简体" w:cs="方正小标宋简体"/>
          <w:color w:val="auto"/>
          <w:sz w:val="72"/>
          <w:szCs w:val="72"/>
          <w:lang w:eastAsia="zh-CN"/>
        </w:rPr>
      </w:pPr>
      <w:r>
        <w:rPr>
          <w:sz w:val="72"/>
        </w:rPr>
        <mc:AlternateContent>
          <mc:Choice Requires="wps">
            <w:drawing>
              <wp:anchor distT="0" distB="0" distL="114300" distR="114300" simplePos="0" relativeHeight="251659264" behindDoc="0" locked="0" layoutInCell="1" allowOverlap="1">
                <wp:simplePos x="0" y="0"/>
                <wp:positionH relativeFrom="column">
                  <wp:posOffset>2226310</wp:posOffset>
                </wp:positionH>
                <wp:positionV relativeFrom="paragraph">
                  <wp:posOffset>196215</wp:posOffset>
                </wp:positionV>
                <wp:extent cx="1202055" cy="4424045"/>
                <wp:effectExtent l="0" t="0" r="0" b="0"/>
                <wp:wrapNone/>
                <wp:docPr id="1" name="文本框 1"/>
                <wp:cNvGraphicFramePr/>
                <a:graphic xmlns:a="http://schemas.openxmlformats.org/drawingml/2006/main">
                  <a:graphicData uri="http://schemas.microsoft.com/office/word/2010/wordprocessingShape">
                    <wps:wsp>
                      <wps:cNvSpPr txBox="1"/>
                      <wps:spPr>
                        <a:xfrm>
                          <a:off x="3509010" y="2480945"/>
                          <a:ext cx="1202055" cy="4424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color w:val="auto"/>
                                <w:sz w:val="84"/>
                                <w:szCs w:val="84"/>
                                <w:lang w:eastAsia="zh-CN"/>
                              </w:rPr>
                            </w:pPr>
                            <w:r>
                              <w:rPr>
                                <w:rFonts w:hint="eastAsia" w:ascii="方正小标宋简体" w:hAnsi="方正小标宋简体" w:eastAsia="方正小标宋简体" w:cs="方正小标宋简体"/>
                                <w:color w:val="auto"/>
                                <w:sz w:val="84"/>
                                <w:szCs w:val="84"/>
                                <w:lang w:eastAsia="zh-CN"/>
                              </w:rPr>
                              <w:t>惠</w:t>
                            </w:r>
                            <w:r>
                              <w:rPr>
                                <w:rFonts w:hint="eastAsia" w:ascii="方正小标宋简体" w:hAnsi="方正小标宋简体" w:eastAsia="方正小标宋简体" w:cs="方正小标宋简体"/>
                                <w:color w:val="auto"/>
                                <w:sz w:val="84"/>
                                <w:szCs w:val="84"/>
                                <w:lang w:val="en-US" w:eastAsia="zh-CN"/>
                              </w:rPr>
                              <w:t xml:space="preserve">  </w:t>
                            </w:r>
                            <w:r>
                              <w:rPr>
                                <w:rFonts w:hint="eastAsia" w:ascii="方正小标宋简体" w:hAnsi="方正小标宋简体" w:eastAsia="方正小标宋简体" w:cs="方正小标宋简体"/>
                                <w:color w:val="auto"/>
                                <w:sz w:val="84"/>
                                <w:szCs w:val="84"/>
                                <w:lang w:eastAsia="zh-CN"/>
                              </w:rPr>
                              <w:t>企</w:t>
                            </w:r>
                            <w:r>
                              <w:rPr>
                                <w:rFonts w:hint="eastAsia" w:ascii="方正小标宋简体" w:hAnsi="方正小标宋简体" w:eastAsia="方正小标宋简体" w:cs="方正小标宋简体"/>
                                <w:color w:val="auto"/>
                                <w:sz w:val="84"/>
                                <w:szCs w:val="84"/>
                                <w:lang w:val="en-US" w:eastAsia="zh-CN"/>
                              </w:rPr>
                              <w:t xml:space="preserve">  </w:t>
                            </w:r>
                            <w:r>
                              <w:rPr>
                                <w:rFonts w:hint="eastAsia" w:ascii="方正小标宋简体" w:hAnsi="方正小标宋简体" w:eastAsia="方正小标宋简体" w:cs="方正小标宋简体"/>
                                <w:color w:val="auto"/>
                                <w:sz w:val="84"/>
                                <w:szCs w:val="84"/>
                                <w:lang w:eastAsia="zh-CN"/>
                              </w:rPr>
                              <w:t>政</w:t>
                            </w:r>
                            <w:r>
                              <w:rPr>
                                <w:rFonts w:hint="eastAsia" w:ascii="方正小标宋简体" w:hAnsi="方正小标宋简体" w:eastAsia="方正小标宋简体" w:cs="方正小标宋简体"/>
                                <w:color w:val="auto"/>
                                <w:sz w:val="84"/>
                                <w:szCs w:val="84"/>
                                <w:lang w:val="en-US" w:eastAsia="zh-CN"/>
                              </w:rPr>
                              <w:t xml:space="preserve">  </w:t>
                            </w:r>
                            <w:r>
                              <w:rPr>
                                <w:rFonts w:hint="eastAsia" w:ascii="方正小标宋简体" w:hAnsi="方正小标宋简体" w:eastAsia="方正小标宋简体" w:cs="方正小标宋简体"/>
                                <w:color w:val="auto"/>
                                <w:sz w:val="84"/>
                                <w:szCs w:val="84"/>
                                <w:lang w:eastAsia="zh-CN"/>
                              </w:rPr>
                              <w:t>策</w:t>
                            </w:r>
                          </w:p>
                          <w:p>
                            <w:pPr>
                              <w:rPr>
                                <w:sz w:val="84"/>
                                <w:szCs w:val="84"/>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3pt;margin-top:15.45pt;height:348.35pt;width:94.65pt;z-index:251659264;mso-width-relative:page;mso-height-relative:page;" filled="f" stroked="f" coordsize="21600,21600" o:gfxdata="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OH44q/ZAAAACgEAAA8AAAAAAAAAAQAgAAAA&#10;OAAAAGRycy9kb3ducmV2LnhtbFBLAQIUABQAAAAIAIdO4kCPxJKtLQIAACcEAAAOAAAAAAAAAAEA&#10;IAAAAD4BAABkcnMvZTJvRG9jLnhtbFBLBQYAAAAABgAGAFkBAADdBQAAAAA=&#10;">
                <v:fill on="f" focussize="0,0"/>
                <v:stroke on="f" weight="0.5pt"/>
                <v:imagedata o:title=""/>
                <o:lock v:ext="edit" aspectratio="f"/>
                <v:textbox style="layout-flow:vertical-ideographic;">
                  <w:txbxContent>
                    <w:p>
                      <w:pPr>
                        <w:jc w:val="center"/>
                        <w:rPr>
                          <w:rFonts w:hint="eastAsia" w:ascii="方正小标宋简体" w:hAnsi="方正小标宋简体" w:eastAsia="方正小标宋简体" w:cs="方正小标宋简体"/>
                          <w:color w:val="auto"/>
                          <w:sz w:val="84"/>
                          <w:szCs w:val="84"/>
                          <w:lang w:eastAsia="zh-CN"/>
                        </w:rPr>
                      </w:pPr>
                      <w:r>
                        <w:rPr>
                          <w:rFonts w:hint="eastAsia" w:ascii="方正小标宋简体" w:hAnsi="方正小标宋简体" w:eastAsia="方正小标宋简体" w:cs="方正小标宋简体"/>
                          <w:color w:val="auto"/>
                          <w:sz w:val="84"/>
                          <w:szCs w:val="84"/>
                          <w:lang w:eastAsia="zh-CN"/>
                        </w:rPr>
                        <w:t>惠</w:t>
                      </w:r>
                      <w:r>
                        <w:rPr>
                          <w:rFonts w:hint="eastAsia" w:ascii="方正小标宋简体" w:hAnsi="方正小标宋简体" w:eastAsia="方正小标宋简体" w:cs="方正小标宋简体"/>
                          <w:color w:val="auto"/>
                          <w:sz w:val="84"/>
                          <w:szCs w:val="84"/>
                          <w:lang w:val="en-US" w:eastAsia="zh-CN"/>
                        </w:rPr>
                        <w:t xml:space="preserve">  </w:t>
                      </w:r>
                      <w:r>
                        <w:rPr>
                          <w:rFonts w:hint="eastAsia" w:ascii="方正小标宋简体" w:hAnsi="方正小标宋简体" w:eastAsia="方正小标宋简体" w:cs="方正小标宋简体"/>
                          <w:color w:val="auto"/>
                          <w:sz w:val="84"/>
                          <w:szCs w:val="84"/>
                          <w:lang w:eastAsia="zh-CN"/>
                        </w:rPr>
                        <w:t>企</w:t>
                      </w:r>
                      <w:r>
                        <w:rPr>
                          <w:rFonts w:hint="eastAsia" w:ascii="方正小标宋简体" w:hAnsi="方正小标宋简体" w:eastAsia="方正小标宋简体" w:cs="方正小标宋简体"/>
                          <w:color w:val="auto"/>
                          <w:sz w:val="84"/>
                          <w:szCs w:val="84"/>
                          <w:lang w:val="en-US" w:eastAsia="zh-CN"/>
                        </w:rPr>
                        <w:t xml:space="preserve">  </w:t>
                      </w:r>
                      <w:r>
                        <w:rPr>
                          <w:rFonts w:hint="eastAsia" w:ascii="方正小标宋简体" w:hAnsi="方正小标宋简体" w:eastAsia="方正小标宋简体" w:cs="方正小标宋简体"/>
                          <w:color w:val="auto"/>
                          <w:sz w:val="84"/>
                          <w:szCs w:val="84"/>
                          <w:lang w:eastAsia="zh-CN"/>
                        </w:rPr>
                        <w:t>政</w:t>
                      </w:r>
                      <w:r>
                        <w:rPr>
                          <w:rFonts w:hint="eastAsia" w:ascii="方正小标宋简体" w:hAnsi="方正小标宋简体" w:eastAsia="方正小标宋简体" w:cs="方正小标宋简体"/>
                          <w:color w:val="auto"/>
                          <w:sz w:val="84"/>
                          <w:szCs w:val="84"/>
                          <w:lang w:val="en-US" w:eastAsia="zh-CN"/>
                        </w:rPr>
                        <w:t xml:space="preserve">  </w:t>
                      </w:r>
                      <w:r>
                        <w:rPr>
                          <w:rFonts w:hint="eastAsia" w:ascii="方正小标宋简体" w:hAnsi="方正小标宋简体" w:eastAsia="方正小标宋简体" w:cs="方正小标宋简体"/>
                          <w:color w:val="auto"/>
                          <w:sz w:val="84"/>
                          <w:szCs w:val="84"/>
                          <w:lang w:eastAsia="zh-CN"/>
                        </w:rPr>
                        <w:t>策</w:t>
                      </w:r>
                    </w:p>
                    <w:p>
                      <w:pPr>
                        <w:rPr>
                          <w:sz w:val="84"/>
                          <w:szCs w:val="84"/>
                        </w:rPr>
                      </w:pPr>
                    </w:p>
                  </w:txbxContent>
                </v:textbox>
              </v:shape>
            </w:pict>
          </mc:Fallback>
        </mc:AlternateContent>
      </w:r>
    </w:p>
    <w:p>
      <w:pPr>
        <w:pStyle w:val="2"/>
        <w:rPr>
          <w:rFonts w:hint="default" w:ascii="方正小标宋简体" w:hAnsi="方正小标宋简体" w:eastAsia="方正小标宋简体" w:cs="方正小标宋简体"/>
          <w:color w:val="auto"/>
          <w:sz w:val="72"/>
          <w:szCs w:val="72"/>
          <w:lang w:eastAsia="zh-CN"/>
        </w:rPr>
      </w:pPr>
    </w:p>
    <w:p>
      <w:pPr>
        <w:pStyle w:val="2"/>
        <w:widowControl w:val="0"/>
        <w:spacing w:after="0" w:line="240" w:lineRule="auto"/>
        <w:rPr>
          <w:rFonts w:hint="eastAsia" w:ascii="方正小标宋简体" w:hAnsi="方正小标宋简体" w:eastAsia="方正小标宋简体" w:cs="方正小标宋简体"/>
          <w:color w:val="auto"/>
          <w:sz w:val="72"/>
          <w:szCs w:val="72"/>
          <w:lang w:eastAsia="zh-CN"/>
        </w:rPr>
      </w:pPr>
    </w:p>
    <w:p>
      <w:pPr>
        <w:pStyle w:val="2"/>
        <w:widowControl w:val="0"/>
        <w:spacing w:after="0" w:line="240" w:lineRule="auto"/>
        <w:rPr>
          <w:rFonts w:hint="eastAsia" w:ascii="方正小标宋简体" w:hAnsi="方正小标宋简体" w:eastAsia="方正小标宋简体" w:cs="方正小标宋简体"/>
          <w:color w:val="auto"/>
          <w:sz w:val="72"/>
          <w:szCs w:val="72"/>
          <w:lang w:eastAsia="zh-CN"/>
        </w:rPr>
      </w:pPr>
    </w:p>
    <w:p>
      <w:pPr>
        <w:pStyle w:val="2"/>
        <w:widowControl w:val="0"/>
        <w:spacing w:after="0" w:line="240" w:lineRule="auto"/>
        <w:rPr>
          <w:rFonts w:hint="eastAsia" w:ascii="方正小标宋简体" w:hAnsi="方正小标宋简体" w:eastAsia="方正小标宋简体" w:cs="方正小标宋简体"/>
          <w:color w:val="auto"/>
          <w:sz w:val="72"/>
          <w:szCs w:val="72"/>
          <w:lang w:eastAsia="zh-CN"/>
        </w:rPr>
      </w:pPr>
    </w:p>
    <w:p>
      <w:pPr>
        <w:pStyle w:val="2"/>
        <w:widowControl w:val="0"/>
        <w:spacing w:after="0" w:line="240" w:lineRule="auto"/>
        <w:rPr>
          <w:rFonts w:hint="eastAsia" w:ascii="方正小标宋简体" w:hAnsi="方正小标宋简体" w:eastAsia="方正小标宋简体" w:cs="方正小标宋简体"/>
          <w:color w:val="auto"/>
          <w:sz w:val="72"/>
          <w:szCs w:val="72"/>
          <w:lang w:eastAsia="zh-CN"/>
        </w:rPr>
      </w:pPr>
    </w:p>
    <w:p>
      <w:pPr>
        <w:pStyle w:val="2"/>
        <w:widowControl w:val="0"/>
        <w:spacing w:after="0" w:line="240" w:lineRule="auto"/>
        <w:rPr>
          <w:rFonts w:hint="eastAsia" w:ascii="方正小标宋简体" w:hAnsi="方正小标宋简体" w:eastAsia="方正小标宋简体" w:cs="方正小标宋简体"/>
          <w:color w:val="auto"/>
          <w:sz w:val="72"/>
          <w:szCs w:val="72"/>
          <w:lang w:eastAsia="zh-CN"/>
        </w:rPr>
      </w:pPr>
    </w:p>
    <w:p>
      <w:pPr>
        <w:pStyle w:val="2"/>
        <w:widowControl w:val="0"/>
        <w:spacing w:after="0" w:line="240" w:lineRule="auto"/>
        <w:rPr>
          <w:rFonts w:hint="eastAsia" w:ascii="方正小标宋简体" w:hAnsi="方正小标宋简体" w:eastAsia="方正小标宋简体" w:cs="方正小标宋简体"/>
          <w:color w:val="auto"/>
          <w:sz w:val="72"/>
          <w:szCs w:val="72"/>
          <w:lang w:eastAsia="zh-CN"/>
        </w:rPr>
      </w:pPr>
    </w:p>
    <w:p>
      <w:pPr>
        <w:pStyle w:val="2"/>
        <w:widowControl w:val="0"/>
        <w:spacing w:after="0" w:line="240" w:lineRule="auto"/>
        <w:rPr>
          <w:rFonts w:hint="eastAsia" w:ascii="方正小标宋简体" w:hAnsi="方正小标宋简体" w:eastAsia="方正小标宋简体" w:cs="方正小标宋简体"/>
          <w:color w:val="auto"/>
          <w:sz w:val="72"/>
          <w:szCs w:val="72"/>
          <w:lang w:eastAsia="zh-CN"/>
        </w:rPr>
      </w:pPr>
    </w:p>
    <w:p>
      <w:pPr>
        <w:pStyle w:val="2"/>
        <w:widowControl w:val="0"/>
        <w:spacing w:after="0" w:line="240" w:lineRule="auto"/>
        <w:jc w:val="center"/>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玉林市投资促进局</w:t>
      </w:r>
    </w:p>
    <w:p>
      <w:pPr>
        <w:pStyle w:val="2"/>
        <w:widowControl w:val="0"/>
        <w:spacing w:after="0" w:line="240" w:lineRule="auto"/>
        <w:jc w:val="center"/>
        <w:rPr>
          <w:rFonts w:hint="default" w:ascii="楷体_GB2312" w:hAnsi="楷体_GB2312" w:eastAsia="楷体_GB2312" w:cs="楷体_GB2312"/>
          <w:color w:val="auto"/>
          <w:sz w:val="32"/>
          <w:szCs w:val="32"/>
          <w:lang w:eastAsia="zh-CN"/>
        </w:rPr>
      </w:pPr>
      <w:r>
        <w:rPr>
          <w:rFonts w:hint="default" w:ascii="Times New Roman" w:hAnsi="Times New Roman" w:eastAsia="楷体_GB2312" w:cs="Times New Roman"/>
          <w:color w:val="auto"/>
          <w:sz w:val="32"/>
          <w:szCs w:val="32"/>
          <w:lang w:val="en-US" w:eastAsia="zh-CN"/>
        </w:rPr>
        <w:t>2025</w:t>
      </w:r>
      <w:r>
        <w:rPr>
          <w:rFonts w:hint="eastAsia" w:ascii="楷体_GB2312" w:hAnsi="楷体_GB2312" w:eastAsia="楷体_GB2312" w:cs="楷体_GB2312"/>
          <w:color w:val="auto"/>
          <w:sz w:val="32"/>
          <w:szCs w:val="32"/>
          <w:lang w:val="en-US" w:eastAsia="zh-CN"/>
        </w:rPr>
        <w:t>年4月</w:t>
      </w:r>
    </w:p>
    <w:p>
      <w:pPr>
        <w:jc w:val="left"/>
        <w:rPr>
          <w:rFonts w:hint="eastAsia" w:ascii="方正公文小标宋" w:hAnsi="方正公文小标宋" w:eastAsia="方正公文小标宋" w:cs="方正公文小标宋"/>
          <w:color w:val="auto"/>
          <w:sz w:val="52"/>
          <w:szCs w:val="52"/>
          <w:lang w:eastAsia="zh-CN"/>
        </w:rPr>
      </w:pPr>
      <w:r>
        <w:rPr>
          <w:rFonts w:hint="eastAsia" w:ascii="方正公文小标宋" w:hAnsi="方正公文小标宋" w:eastAsia="方正公文小标宋" w:cs="方正公文小标宋"/>
          <w:color w:val="auto"/>
          <w:sz w:val="52"/>
          <w:szCs w:val="52"/>
          <w:lang w:eastAsia="zh-CN"/>
        </w:rPr>
        <w:br w:type="page"/>
      </w:r>
    </w:p>
    <w:p>
      <w:pPr>
        <w:rPr>
          <w:rFonts w:hint="eastAsia"/>
          <w:color w:val="auto"/>
          <w:lang w:val="en-US" w:eastAsia="zh-CN"/>
        </w:rPr>
      </w:pPr>
    </w:p>
    <w:p>
      <w:pPr>
        <w:pStyle w:val="2"/>
        <w:widowControl w:val="0"/>
        <w:spacing w:after="0" w:line="240" w:lineRule="auto"/>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目  录</w:t>
      </w:r>
    </w:p>
    <w:p>
      <w:pPr>
        <w:pStyle w:val="2"/>
        <w:widowControl w:val="0"/>
        <w:spacing w:after="0" w:line="240" w:lineRule="auto"/>
        <w:rPr>
          <w:rFonts w:hint="eastAsia" w:ascii="仿宋_GB2312" w:hAnsi="仿宋_GB2312" w:eastAsia="仿宋_GB2312" w:cs="仿宋_GB2312"/>
          <w:color w:val="auto"/>
          <w:sz w:val="32"/>
          <w:szCs w:val="32"/>
          <w:lang w:val="en-US" w:eastAsia="zh-CN"/>
        </w:rPr>
      </w:pPr>
    </w:p>
    <w:p>
      <w:pPr>
        <w:pStyle w:val="2"/>
        <w:widowControl w:val="0"/>
        <w:tabs>
          <w:tab w:val="right" w:leader="middleDot" w:pos="9030"/>
        </w:tabs>
        <w:spacing w:after="0" w:line="240" w:lineRule="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一、农业优惠政策</w:t>
      </w:r>
      <w:r>
        <w:rPr>
          <w:rFonts w:hint="eastAsia" w:ascii="黑体" w:hAnsi="黑体" w:eastAsia="黑体" w:cs="黑体"/>
          <w:color w:val="auto"/>
          <w:sz w:val="32"/>
          <w:szCs w:val="32"/>
          <w:lang w:val="en-US" w:eastAsia="zh-CN"/>
        </w:rPr>
        <w:tab/>
      </w:r>
      <w:r>
        <w:rPr>
          <w:rFonts w:hint="default" w:ascii="Times New Roman" w:hAnsi="Times New Roman" w:eastAsia="黑体" w:cs="Times New Roman"/>
          <w:color w:val="auto"/>
          <w:sz w:val="32"/>
          <w:szCs w:val="32"/>
          <w:lang w:val="en-US" w:eastAsia="zh-CN"/>
        </w:rPr>
        <w:t>1</w:t>
      </w:r>
    </w:p>
    <w:p>
      <w:pPr>
        <w:pStyle w:val="2"/>
        <w:widowControl w:val="0"/>
        <w:tabs>
          <w:tab w:val="right" w:leader="middleDot" w:pos="9030"/>
        </w:tabs>
        <w:spacing w:after="0" w:line="240" w:lineRule="auto"/>
        <w:ind w:firstLine="320" w:firstLineChars="100"/>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（一）林业</w:t>
      </w:r>
      <w:r>
        <w:rPr>
          <w:rFonts w:hint="eastAsia" w:ascii="楷体_GB2312" w:hAnsi="楷体_GB2312" w:eastAsia="楷体_GB2312" w:cs="楷体_GB2312"/>
          <w:color w:val="auto"/>
          <w:sz w:val="32"/>
          <w:szCs w:val="32"/>
          <w:lang w:val="en-US" w:eastAsia="zh-CN"/>
        </w:rPr>
        <w:tab/>
      </w:r>
      <w:r>
        <w:rPr>
          <w:rFonts w:hint="default" w:ascii="Times New Roman" w:hAnsi="Times New Roman" w:eastAsia="楷体_GB2312" w:cs="Times New Roman"/>
          <w:color w:val="auto"/>
          <w:sz w:val="32"/>
          <w:szCs w:val="32"/>
          <w:lang w:val="en-US" w:eastAsia="zh-CN"/>
        </w:rPr>
        <w:t>1</w:t>
      </w:r>
    </w:p>
    <w:p>
      <w:pPr>
        <w:pStyle w:val="2"/>
        <w:widowControl w:val="0"/>
        <w:tabs>
          <w:tab w:val="right" w:leader="middleDot" w:pos="9030"/>
        </w:tabs>
        <w:spacing w:after="0" w:line="240" w:lineRule="auto"/>
        <w:ind w:firstLine="320" w:firstLineChars="100"/>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（二）农业税收优惠</w:t>
      </w:r>
      <w:r>
        <w:rPr>
          <w:rFonts w:hint="eastAsia" w:ascii="楷体_GB2312" w:hAnsi="楷体_GB2312" w:eastAsia="楷体_GB2312" w:cs="楷体_GB2312"/>
          <w:color w:val="auto"/>
          <w:sz w:val="32"/>
          <w:szCs w:val="32"/>
          <w:lang w:val="en-US" w:eastAsia="zh-CN"/>
        </w:rPr>
        <w:tab/>
      </w:r>
      <w:r>
        <w:rPr>
          <w:rFonts w:hint="eastAsia" w:ascii="Times New Roman" w:hAnsi="Times New Roman" w:eastAsia="楷体_GB2312" w:cs="Times New Roman"/>
          <w:color w:val="auto"/>
          <w:sz w:val="32"/>
          <w:szCs w:val="32"/>
          <w:lang w:val="en-US" w:eastAsia="zh-CN"/>
        </w:rPr>
        <w:t>4</w:t>
      </w:r>
    </w:p>
    <w:p>
      <w:pPr>
        <w:pStyle w:val="2"/>
        <w:widowControl w:val="0"/>
        <w:tabs>
          <w:tab w:val="right" w:leader="middleDot" w:pos="9030"/>
        </w:tabs>
        <w:spacing w:after="0" w:line="240" w:lineRule="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二、工业优惠政策</w:t>
      </w:r>
      <w:r>
        <w:rPr>
          <w:rFonts w:hint="eastAsia" w:ascii="黑体" w:hAnsi="黑体" w:eastAsia="黑体" w:cs="黑体"/>
          <w:color w:val="auto"/>
          <w:sz w:val="32"/>
          <w:szCs w:val="32"/>
          <w:lang w:val="en-US" w:eastAsia="zh-CN"/>
        </w:rPr>
        <w:tab/>
      </w:r>
      <w:r>
        <w:rPr>
          <w:rFonts w:hint="eastAsia" w:ascii="Times New Roman" w:hAnsi="Times New Roman" w:eastAsia="黑体" w:cs="Times New Roman"/>
          <w:color w:val="auto"/>
          <w:sz w:val="32"/>
          <w:szCs w:val="32"/>
          <w:lang w:val="en-US" w:eastAsia="zh-CN"/>
        </w:rPr>
        <w:t>5</w:t>
      </w:r>
    </w:p>
    <w:p>
      <w:pPr>
        <w:pStyle w:val="2"/>
        <w:widowControl w:val="0"/>
        <w:tabs>
          <w:tab w:val="right" w:leader="middleDot" w:pos="9030"/>
        </w:tabs>
        <w:spacing w:after="0" w:line="240" w:lineRule="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三、服务业优惠政策</w:t>
      </w:r>
      <w:r>
        <w:rPr>
          <w:rFonts w:hint="eastAsia" w:ascii="黑体" w:hAnsi="黑体" w:eastAsia="黑体" w:cs="黑体"/>
          <w:color w:val="auto"/>
          <w:sz w:val="32"/>
          <w:szCs w:val="32"/>
          <w:lang w:val="en-US" w:eastAsia="zh-CN"/>
        </w:rPr>
        <w:tab/>
      </w: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4</w:t>
      </w:r>
    </w:p>
    <w:p>
      <w:pPr>
        <w:pStyle w:val="2"/>
        <w:widowControl w:val="0"/>
        <w:tabs>
          <w:tab w:val="right" w:leader="middleDot" w:pos="9030"/>
        </w:tabs>
        <w:spacing w:after="0" w:line="240" w:lineRule="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四、科技企业优惠政策</w:t>
      </w:r>
      <w:r>
        <w:rPr>
          <w:rFonts w:hint="eastAsia" w:ascii="黑体" w:hAnsi="黑体" w:eastAsia="黑体" w:cs="黑体"/>
          <w:color w:val="auto"/>
          <w:sz w:val="32"/>
          <w:szCs w:val="32"/>
          <w:lang w:val="en-US" w:eastAsia="zh-CN"/>
        </w:rPr>
        <w:tab/>
      </w:r>
      <w:r>
        <w:rPr>
          <w:rFonts w:hint="eastAsia" w:ascii="Times New Roman" w:hAnsi="Times New Roman" w:eastAsia="黑体" w:cs="Times New Roman"/>
          <w:color w:val="auto"/>
          <w:sz w:val="32"/>
          <w:szCs w:val="32"/>
          <w:lang w:val="en-US" w:eastAsia="zh-CN"/>
        </w:rPr>
        <w:t>19</w:t>
      </w:r>
    </w:p>
    <w:p>
      <w:pPr>
        <w:pStyle w:val="2"/>
        <w:widowControl w:val="0"/>
        <w:tabs>
          <w:tab w:val="right" w:leader="middleDot" w:pos="9030"/>
        </w:tabs>
        <w:spacing w:after="0" w:line="240" w:lineRule="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五、开放平台优惠政策</w:t>
      </w:r>
      <w:r>
        <w:rPr>
          <w:rFonts w:hint="eastAsia" w:ascii="黑体" w:hAnsi="黑体" w:eastAsia="黑体" w:cs="黑体"/>
          <w:color w:val="auto"/>
          <w:sz w:val="32"/>
          <w:szCs w:val="32"/>
          <w:lang w:val="en-US" w:eastAsia="zh-CN"/>
        </w:rPr>
        <w:tab/>
      </w:r>
      <w:r>
        <w:rPr>
          <w:rFonts w:hint="default" w:ascii="Times New Roman" w:hAnsi="Times New Roman" w:eastAsia="黑体" w:cs="Times New Roman"/>
          <w:color w:val="auto"/>
          <w:sz w:val="32"/>
          <w:szCs w:val="32"/>
          <w:lang w:val="en-US" w:eastAsia="zh-CN"/>
        </w:rPr>
        <w:t>2</w:t>
      </w:r>
      <w:r>
        <w:rPr>
          <w:rFonts w:hint="eastAsia" w:ascii="Times New Roman" w:hAnsi="Times New Roman" w:eastAsia="黑体" w:cs="Times New Roman"/>
          <w:color w:val="auto"/>
          <w:sz w:val="32"/>
          <w:szCs w:val="32"/>
          <w:lang w:val="en-US" w:eastAsia="zh-CN"/>
        </w:rPr>
        <w:t>8</w:t>
      </w:r>
    </w:p>
    <w:p>
      <w:pPr>
        <w:pStyle w:val="2"/>
        <w:widowControl w:val="0"/>
        <w:tabs>
          <w:tab w:val="right" w:leader="middleDot" w:pos="9030"/>
        </w:tabs>
        <w:spacing w:after="0" w:line="240" w:lineRule="auto"/>
        <w:ind w:firstLine="320" w:firstLineChars="100"/>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（一）西部大开发政策</w:t>
      </w:r>
      <w:r>
        <w:rPr>
          <w:rFonts w:hint="eastAsia" w:ascii="楷体_GB2312" w:hAnsi="楷体_GB2312" w:eastAsia="楷体_GB2312" w:cs="楷体_GB2312"/>
          <w:color w:val="auto"/>
          <w:sz w:val="32"/>
          <w:szCs w:val="32"/>
          <w:lang w:val="en-US" w:eastAsia="zh-CN"/>
        </w:rPr>
        <w:tab/>
      </w:r>
      <w:r>
        <w:rPr>
          <w:rFonts w:hint="default" w:ascii="Times New Roman" w:hAnsi="Times New Roman" w:eastAsia="楷体_GB2312" w:cs="Times New Roman"/>
          <w:color w:val="auto"/>
          <w:sz w:val="32"/>
          <w:szCs w:val="32"/>
          <w:lang w:val="en-US" w:eastAsia="zh-CN"/>
        </w:rPr>
        <w:t>2</w:t>
      </w:r>
      <w:r>
        <w:rPr>
          <w:rFonts w:hint="eastAsia" w:ascii="Times New Roman" w:hAnsi="Times New Roman" w:eastAsia="楷体_GB2312" w:cs="Times New Roman"/>
          <w:color w:val="auto"/>
          <w:sz w:val="32"/>
          <w:szCs w:val="32"/>
          <w:lang w:val="en-US" w:eastAsia="zh-CN"/>
        </w:rPr>
        <w:t>8</w:t>
      </w:r>
    </w:p>
    <w:p>
      <w:pPr>
        <w:pStyle w:val="2"/>
        <w:widowControl w:val="0"/>
        <w:tabs>
          <w:tab w:val="right" w:leader="middleDot" w:pos="9030"/>
        </w:tabs>
        <w:spacing w:after="0" w:line="240" w:lineRule="auto"/>
        <w:ind w:firstLine="320" w:firstLineChars="100"/>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（二）北部湾经济区政策</w:t>
      </w:r>
      <w:r>
        <w:rPr>
          <w:rFonts w:hint="eastAsia" w:ascii="楷体_GB2312" w:hAnsi="楷体_GB2312" w:eastAsia="楷体_GB2312" w:cs="楷体_GB2312"/>
          <w:color w:val="auto"/>
          <w:sz w:val="32"/>
          <w:szCs w:val="32"/>
          <w:lang w:val="en-US" w:eastAsia="zh-CN"/>
        </w:rPr>
        <w:tab/>
      </w:r>
      <w:r>
        <w:rPr>
          <w:rFonts w:hint="default" w:ascii="Times New Roman" w:hAnsi="Times New Roman" w:eastAsia="楷体_GB2312" w:cs="Times New Roman"/>
          <w:color w:val="auto"/>
          <w:sz w:val="32"/>
          <w:szCs w:val="32"/>
          <w:lang w:val="en-US" w:eastAsia="zh-CN"/>
        </w:rPr>
        <w:t>2</w:t>
      </w:r>
      <w:r>
        <w:rPr>
          <w:rFonts w:hint="eastAsia" w:ascii="Times New Roman" w:hAnsi="Times New Roman" w:eastAsia="楷体_GB2312" w:cs="Times New Roman"/>
          <w:color w:val="auto"/>
          <w:sz w:val="32"/>
          <w:szCs w:val="32"/>
          <w:lang w:val="en-US" w:eastAsia="zh-CN"/>
        </w:rPr>
        <w:t>8</w:t>
      </w:r>
    </w:p>
    <w:p>
      <w:pPr>
        <w:pStyle w:val="2"/>
        <w:widowControl w:val="0"/>
        <w:tabs>
          <w:tab w:val="right" w:leader="middleDot" w:pos="9030"/>
        </w:tabs>
        <w:spacing w:after="0" w:line="240" w:lineRule="auto"/>
        <w:ind w:firstLine="320" w:firstLineChars="100"/>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（三）中国—东盟产业合作区政策</w:t>
      </w:r>
      <w:r>
        <w:rPr>
          <w:rFonts w:hint="eastAsia" w:ascii="楷体_GB2312" w:hAnsi="楷体_GB2312" w:eastAsia="楷体_GB2312" w:cs="楷体_GB2312"/>
          <w:color w:val="auto"/>
          <w:sz w:val="32"/>
          <w:szCs w:val="32"/>
          <w:lang w:val="en-US" w:eastAsia="zh-CN"/>
        </w:rPr>
        <w:tab/>
      </w:r>
      <w:r>
        <w:rPr>
          <w:rFonts w:hint="eastAsia" w:ascii="Times New Roman" w:hAnsi="Times New Roman" w:eastAsia="楷体_GB2312" w:cs="Times New Roman"/>
          <w:color w:val="auto"/>
          <w:sz w:val="32"/>
          <w:szCs w:val="32"/>
          <w:lang w:val="en-US" w:eastAsia="zh-CN"/>
        </w:rPr>
        <w:t>30</w:t>
      </w:r>
    </w:p>
    <w:p>
      <w:pPr>
        <w:pStyle w:val="2"/>
        <w:widowControl w:val="0"/>
        <w:tabs>
          <w:tab w:val="right" w:leader="middleDot" w:pos="9030"/>
        </w:tabs>
        <w:spacing w:after="0" w:line="240" w:lineRule="auto"/>
        <w:ind w:firstLine="320" w:firstLineChars="100"/>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（四）经济技术开发区政策</w:t>
      </w:r>
      <w:r>
        <w:rPr>
          <w:rFonts w:hint="eastAsia" w:ascii="楷体_GB2312" w:hAnsi="楷体_GB2312" w:eastAsia="楷体_GB2312" w:cs="楷体_GB2312"/>
          <w:color w:val="auto"/>
          <w:sz w:val="32"/>
          <w:szCs w:val="32"/>
          <w:lang w:val="en-US" w:eastAsia="zh-CN"/>
        </w:rPr>
        <w:tab/>
      </w:r>
      <w:r>
        <w:rPr>
          <w:rFonts w:hint="eastAsia" w:ascii="Times New Roman" w:hAnsi="Times New Roman" w:eastAsia="楷体_GB2312" w:cs="Times New Roman"/>
          <w:color w:val="auto"/>
          <w:sz w:val="32"/>
          <w:szCs w:val="32"/>
          <w:lang w:val="en-US" w:eastAsia="zh-CN"/>
        </w:rPr>
        <w:t>33</w:t>
      </w:r>
    </w:p>
    <w:p>
      <w:pPr>
        <w:pStyle w:val="2"/>
        <w:widowControl w:val="0"/>
        <w:tabs>
          <w:tab w:val="right" w:leader="middleDot" w:pos="9030"/>
        </w:tabs>
        <w:spacing w:after="0" w:line="240" w:lineRule="auto"/>
        <w:rPr>
          <w:rFonts w:hint="default" w:ascii="Times New Roman" w:hAnsi="Times New Roman" w:eastAsia="黑体" w:cs="Times New Roman"/>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b w:val="0"/>
          <w:bCs w:val="0"/>
          <w:color w:val="auto"/>
          <w:sz w:val="32"/>
          <w:szCs w:val="32"/>
          <w:lang w:val="en-US" w:eastAsia="zh-CN"/>
        </w:rPr>
        <w:t>要素保障优惠政策</w:t>
      </w:r>
      <w:r>
        <w:rPr>
          <w:rFonts w:hint="eastAsia" w:ascii="黑体" w:hAnsi="黑体" w:eastAsia="黑体" w:cs="黑体"/>
          <w:color w:val="auto"/>
          <w:sz w:val="32"/>
          <w:szCs w:val="32"/>
          <w:lang w:val="en-US" w:eastAsia="zh-CN"/>
        </w:rPr>
        <w:tab/>
      </w:r>
      <w:r>
        <w:rPr>
          <w:rFonts w:hint="eastAsia" w:ascii="Times New Roman" w:hAnsi="Times New Roman" w:eastAsia="黑体" w:cs="Times New Roman"/>
          <w:color w:val="auto"/>
          <w:sz w:val="32"/>
          <w:szCs w:val="32"/>
          <w:lang w:val="en-US" w:eastAsia="zh-CN"/>
        </w:rPr>
        <w:t>35</w:t>
      </w:r>
    </w:p>
    <w:p>
      <w:pPr>
        <w:pStyle w:val="2"/>
        <w:widowControl w:val="0"/>
        <w:tabs>
          <w:tab w:val="right" w:leader="middleDot" w:pos="9030"/>
        </w:tabs>
        <w:spacing w:after="0" w:line="240" w:lineRule="auto"/>
        <w:rPr>
          <w:rFonts w:hint="default" w:ascii="Times New Roman" w:hAnsi="Times New Roman" w:eastAsia="黑体" w:cs="Times New Roman"/>
          <w:color w:val="auto"/>
          <w:sz w:val="32"/>
          <w:szCs w:val="32"/>
          <w:lang w:val="en-US" w:eastAsia="zh-CN"/>
        </w:rPr>
      </w:pPr>
      <w:r>
        <w:rPr>
          <w:rFonts w:hint="eastAsia" w:ascii="黑体" w:hAnsi="黑体" w:eastAsia="黑体" w:cs="黑体"/>
          <w:color w:val="auto"/>
          <w:sz w:val="32"/>
          <w:szCs w:val="32"/>
          <w:lang w:val="en-US" w:eastAsia="zh-CN"/>
        </w:rPr>
        <w:t>七、普适性优惠政策</w:t>
      </w:r>
      <w:r>
        <w:rPr>
          <w:rFonts w:hint="eastAsia" w:ascii="黑体" w:hAnsi="黑体" w:eastAsia="黑体" w:cs="黑体"/>
          <w:color w:val="auto"/>
          <w:sz w:val="32"/>
          <w:szCs w:val="32"/>
          <w:lang w:val="en-US" w:eastAsia="zh-CN"/>
        </w:rPr>
        <w:tab/>
      </w:r>
      <w:r>
        <w:rPr>
          <w:rFonts w:hint="eastAsia" w:ascii="Times New Roman" w:hAnsi="Times New Roman" w:eastAsia="黑体" w:cs="Times New Roman"/>
          <w:color w:val="auto"/>
          <w:sz w:val="32"/>
          <w:szCs w:val="32"/>
          <w:lang w:val="en-US" w:eastAsia="zh-CN"/>
        </w:rPr>
        <w:t>36</w:t>
      </w:r>
    </w:p>
    <w:p>
      <w:pPr>
        <w:numPr>
          <w:ilvl w:val="-1"/>
          <w:numId w:val="0"/>
        </w:numPr>
        <w:spacing w:beforeLines="0" w:afterLines="0" w:line="560" w:lineRule="exact"/>
        <w:ind w:firstLine="0" w:firstLineChars="0"/>
        <w:jc w:val="both"/>
        <w:outlineLvl w:val="0"/>
        <w:rPr>
          <w:rFonts w:hint="eastAsia" w:ascii="黑体" w:hAnsi="黑体" w:eastAsia="黑体" w:cs="黑体"/>
          <w:b w:val="0"/>
          <w:bCs w:val="0"/>
          <w:color w:val="auto"/>
          <w:kern w:val="0"/>
          <w:sz w:val="32"/>
          <w:szCs w:val="32"/>
          <w:lang w:val="en-US" w:eastAsia="zh-CN"/>
        </w:rPr>
      </w:pPr>
    </w:p>
    <w:p>
      <w:pPr>
        <w:pStyle w:val="2"/>
        <w:widowControl w:val="0"/>
        <w:tabs>
          <w:tab w:val="right" w:leader="middleDot" w:pos="9030"/>
        </w:tabs>
        <w:spacing w:after="0" w:line="240" w:lineRule="auto"/>
        <w:rPr>
          <w:rFonts w:hint="default" w:ascii="Times New Roman" w:hAnsi="Times New Roman" w:eastAsia="黑体" w:cs="Times New Roman"/>
          <w:color w:val="auto"/>
          <w:sz w:val="32"/>
          <w:szCs w:val="32"/>
          <w:lang w:val="en-US" w:eastAsia="zh-CN"/>
        </w:rPr>
      </w:pPr>
    </w:p>
    <w:p>
      <w:pPr>
        <w:widowControl w:val="0"/>
        <w:spacing w:after="0"/>
        <w:rPr>
          <w:rFonts w:hint="eastAsia" w:ascii="方正公文小标宋" w:hAnsi="方正公文小标宋" w:eastAsia="方正公文小标宋" w:cs="方正公文小标宋"/>
          <w:color w:val="auto"/>
          <w:sz w:val="52"/>
          <w:szCs w:val="52"/>
          <w:lang w:val="en-US" w:eastAsia="zh-CN"/>
        </w:rPr>
        <w:sectPr>
          <w:footerReference r:id="rId3" w:type="default"/>
          <w:pgSz w:w="11906" w:h="16838"/>
          <w:pgMar w:top="1701" w:right="1474" w:bottom="1417" w:left="1587" w:header="851" w:footer="992" w:gutter="0"/>
          <w:pgNumType w:fmt="decimal"/>
          <w:cols w:space="425" w:num="1"/>
          <w:docGrid w:type="lines" w:linePitch="312" w:charSpace="0"/>
        </w:sectPr>
      </w:pPr>
      <w:r>
        <w:rPr>
          <w:rFonts w:hint="eastAsia" w:ascii="方正公文小标宋" w:hAnsi="方正公文小标宋" w:eastAsia="方正公文小标宋" w:cs="方正公文小标宋"/>
          <w:color w:val="auto"/>
          <w:sz w:val="52"/>
          <w:szCs w:val="52"/>
          <w:lang w:val="en-US" w:eastAsia="zh-CN"/>
        </w:rPr>
        <w:br w:type="page"/>
      </w:r>
    </w:p>
    <w:p>
      <w:pPr>
        <w:numPr>
          <w:ilvl w:val="-1"/>
          <w:numId w:val="0"/>
        </w:numPr>
        <w:spacing w:beforeLines="0" w:afterLines="0" w:line="590" w:lineRule="exact"/>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一、农业优惠政策</w:t>
      </w:r>
    </w:p>
    <w:p>
      <w:pPr>
        <w:pStyle w:val="4"/>
        <w:keepNext w:val="0"/>
        <w:keepLines w:val="0"/>
        <w:spacing w:before="0" w:beforeAutospacing="0" w:after="0" w:afterAutospacing="0" w:line="590" w:lineRule="exact"/>
        <w:ind w:firstLine="640"/>
        <w:outlineLvl w:val="1"/>
        <w:rPr>
          <w:rFonts w:hint="eastAsia" w:ascii="楷体_GB2312" w:hAnsi="楷体_GB2312" w:eastAsia="楷体_GB2312" w:cs="楷体_GB2312"/>
          <w:b/>
          <w:bCs/>
          <w:color w:val="auto"/>
          <w:kern w:val="0"/>
          <w:sz w:val="32"/>
          <w:szCs w:val="32"/>
          <w:lang w:val="en-US" w:eastAsia="zh-CN" w:bidi="ar-SA"/>
        </w:rPr>
      </w:pPr>
    </w:p>
    <w:p>
      <w:pPr>
        <w:pStyle w:val="4"/>
        <w:keepNext w:val="0"/>
        <w:keepLines w:val="0"/>
        <w:spacing w:before="0" w:beforeAutospacing="0" w:after="0" w:afterAutospacing="0" w:line="590" w:lineRule="exact"/>
        <w:ind w:firstLine="642" w:firstLineChars="200"/>
        <w:outlineLvl w:val="1"/>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（一）林业</w:t>
      </w:r>
    </w:p>
    <w:p>
      <w:pPr>
        <w:numPr>
          <w:ilvl w:val="0"/>
          <w:numId w:val="0"/>
        </w:numPr>
        <w:spacing w:beforeLines="0" w:afterLines="0" w:line="59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林木良种补助。</w:t>
      </w:r>
      <w:r>
        <w:rPr>
          <w:rFonts w:hint="eastAsia" w:ascii="仿宋_GB2312" w:hAnsi="仿宋_GB2312" w:eastAsia="仿宋_GB2312" w:cs="仿宋_GB2312"/>
          <w:color w:val="auto"/>
          <w:sz w:val="32"/>
          <w:szCs w:val="32"/>
          <w:lang w:eastAsia="zh-CN"/>
        </w:rPr>
        <w:t>种子园、种质资源库每亩补助</w:t>
      </w:r>
      <w:r>
        <w:rPr>
          <w:rFonts w:hint="default" w:ascii="Times New Roman" w:hAnsi="Times New Roman" w:eastAsia="仿宋_GB2312" w:cs="Times New Roman"/>
          <w:color w:val="auto"/>
          <w:sz w:val="32"/>
          <w:szCs w:val="32"/>
          <w:lang w:eastAsia="zh-CN"/>
        </w:rPr>
        <w:t>1000</w:t>
      </w:r>
      <w:r>
        <w:rPr>
          <w:rFonts w:hint="eastAsia" w:ascii="仿宋_GB2312" w:hAnsi="仿宋_GB2312" w:eastAsia="仿宋_GB2312" w:cs="仿宋_GB2312"/>
          <w:color w:val="auto"/>
          <w:sz w:val="32"/>
          <w:szCs w:val="32"/>
          <w:lang w:eastAsia="zh-CN"/>
        </w:rPr>
        <w:t>元，采穗圃每亩补助</w:t>
      </w:r>
      <w:r>
        <w:rPr>
          <w:rFonts w:hint="default" w:ascii="Times New Roman" w:hAnsi="Times New Roman" w:eastAsia="仿宋_GB2312" w:cs="Times New Roman"/>
          <w:color w:val="auto"/>
          <w:sz w:val="32"/>
          <w:szCs w:val="32"/>
          <w:lang w:eastAsia="zh-CN"/>
        </w:rPr>
        <w:t>500</w:t>
      </w:r>
      <w:r>
        <w:rPr>
          <w:rFonts w:hint="eastAsia" w:ascii="仿宋_GB2312" w:hAnsi="仿宋_GB2312" w:eastAsia="仿宋_GB2312" w:cs="仿宋_GB2312"/>
          <w:color w:val="auto"/>
          <w:sz w:val="32"/>
          <w:szCs w:val="32"/>
          <w:lang w:eastAsia="zh-CN"/>
        </w:rPr>
        <w:t>元，母树林、试验林每亩补助</w:t>
      </w:r>
      <w:r>
        <w:rPr>
          <w:rFonts w:hint="default" w:ascii="Times New Roman" w:hAnsi="Times New Roman" w:eastAsia="仿宋_GB2312" w:cs="Times New Roman"/>
          <w:color w:val="auto"/>
          <w:sz w:val="32"/>
          <w:szCs w:val="32"/>
          <w:lang w:eastAsia="zh-CN"/>
        </w:rPr>
        <w:t>300</w:t>
      </w:r>
      <w:r>
        <w:rPr>
          <w:rFonts w:hint="eastAsia" w:ascii="仿宋_GB2312" w:hAnsi="仿宋_GB2312" w:eastAsia="仿宋_GB2312" w:cs="仿宋_GB2312"/>
          <w:color w:val="auto"/>
          <w:sz w:val="32"/>
          <w:szCs w:val="32"/>
          <w:lang w:eastAsia="zh-CN"/>
        </w:rPr>
        <w:t>元;杉木、马尾松、桉树、大花序桉、湿地松、红锥、西南桦、香樟、火力楠等用材林树种每株补助</w:t>
      </w:r>
      <w:r>
        <w:rPr>
          <w:rFonts w:hint="default" w:ascii="Times New Roman" w:hAnsi="Times New Roman" w:eastAsia="仿宋_GB2312" w:cs="Times New Roman"/>
          <w:color w:val="auto"/>
          <w:sz w:val="32"/>
          <w:szCs w:val="32"/>
          <w:lang w:eastAsia="zh-CN"/>
        </w:rPr>
        <w:t>0</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eastAsia="zh-CN"/>
        </w:rPr>
        <w:t>5</w:t>
      </w:r>
      <w:r>
        <w:rPr>
          <w:rFonts w:hint="eastAsia" w:ascii="仿宋_GB2312" w:hAnsi="仿宋_GB2312" w:eastAsia="仿宋_GB2312" w:cs="仿宋_GB2312"/>
          <w:color w:val="auto"/>
          <w:sz w:val="32"/>
          <w:szCs w:val="32"/>
          <w:lang w:eastAsia="zh-CN"/>
        </w:rPr>
        <w:t>元，八角、岑软系列油茶</w:t>
      </w:r>
      <w:r>
        <w:rPr>
          <w:rFonts w:hint="default" w:ascii="Times New Roman" w:hAnsi="Times New Roman" w:eastAsia="仿宋_GB2312" w:cs="Times New Roman"/>
          <w:color w:val="auto"/>
          <w:sz w:val="32"/>
          <w:szCs w:val="32"/>
          <w:lang w:eastAsia="zh-CN"/>
        </w:rPr>
        <w:t>2</w:t>
      </w:r>
      <w:r>
        <w:rPr>
          <w:rFonts w:hint="eastAsia" w:ascii="仿宋_GB2312" w:hAnsi="仿宋_GB2312" w:eastAsia="仿宋_GB2312" w:cs="仿宋_GB2312"/>
          <w:color w:val="auto"/>
          <w:sz w:val="32"/>
          <w:szCs w:val="32"/>
          <w:lang w:eastAsia="zh-CN"/>
        </w:rPr>
        <w:t>年生大苗、澳洲坚果大苗等经济林苗木每株补贴</w:t>
      </w:r>
      <w:r>
        <w:rPr>
          <w:rFonts w:hint="default" w:ascii="Times New Roman" w:hAnsi="Times New Roman" w:eastAsia="仿宋_GB2312" w:cs="Times New Roman"/>
          <w:color w:val="auto"/>
          <w:sz w:val="32"/>
          <w:szCs w:val="32"/>
          <w:lang w:eastAsia="zh-CN"/>
        </w:rPr>
        <w:t>1</w:t>
      </w:r>
      <w:r>
        <w:rPr>
          <w:rFonts w:hint="eastAsia" w:ascii="仿宋_GB2312" w:hAnsi="仿宋_GB2312" w:eastAsia="仿宋_GB2312" w:cs="仿宋_GB2312"/>
          <w:color w:val="auto"/>
          <w:sz w:val="32"/>
          <w:szCs w:val="32"/>
          <w:lang w:eastAsia="zh-CN"/>
        </w:rPr>
        <w:t>元;红树林树种和香花油茶大苗每株补助</w:t>
      </w:r>
      <w:r>
        <w:rPr>
          <w:rFonts w:hint="default" w:ascii="Times New Roman" w:hAnsi="Times New Roman" w:eastAsia="仿宋_GB2312" w:cs="Times New Roman"/>
          <w:color w:val="auto"/>
          <w:sz w:val="32"/>
          <w:szCs w:val="32"/>
          <w:lang w:eastAsia="zh-CN"/>
        </w:rPr>
        <w:t>2</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b/>
          <w:bCs/>
          <w:color w:val="auto"/>
          <w:sz w:val="32"/>
          <w:szCs w:val="32"/>
          <w:lang w:val="en-US" w:eastAsia="zh-CN"/>
        </w:rPr>
        <w:t>《关于报送</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年中央财政和自治区财政林木良种补助项目的函》</w:t>
      </w:r>
    </w:p>
    <w:p>
      <w:pPr>
        <w:numPr>
          <w:ilvl w:val="0"/>
          <w:numId w:val="0"/>
        </w:numPr>
        <w:spacing w:beforeLines="0" w:afterLines="0" w:line="59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.花卉产业项目。</w:t>
      </w:r>
      <w:r>
        <w:rPr>
          <w:rFonts w:hint="eastAsia" w:ascii="仿宋_GB2312" w:hAnsi="仿宋_GB2312" w:eastAsia="仿宋_GB2312" w:cs="仿宋_GB2312"/>
          <w:color w:val="auto"/>
          <w:sz w:val="32"/>
          <w:szCs w:val="32"/>
          <w:lang w:val="en-US" w:eastAsia="zh-CN"/>
        </w:rPr>
        <w:t>对</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花卉产业园区基础设施建设项目，科研院所花卉产业新优特品种和技术研究、推广项目，企业等花卉产业经营主体年内新增投资、改扩建发展等项目给予补助支持。单个项目补助标准原则上不超过项目年度总投资的</w:t>
      </w:r>
      <w:r>
        <w:rPr>
          <w:rFonts w:hint="default" w:ascii="Times New Roman" w:hAnsi="Times New Roman" w:eastAsia="仿宋_GB2312" w:cs="Times New Roman"/>
          <w:color w:val="auto"/>
          <w:sz w:val="32"/>
          <w:szCs w:val="32"/>
          <w:lang w:val="en-US" w:eastAsia="zh-CN"/>
        </w:rPr>
        <w:t>50%</w:t>
      </w:r>
      <w:r>
        <w:rPr>
          <w:rFonts w:hint="eastAsia" w:ascii="仿宋_GB2312" w:hAnsi="仿宋_GB2312" w:eastAsia="仿宋_GB2312" w:cs="仿宋_GB2312"/>
          <w:color w:val="auto"/>
          <w:sz w:val="32"/>
          <w:szCs w:val="32"/>
          <w:lang w:val="en-US" w:eastAsia="zh-CN"/>
        </w:rPr>
        <w:t>，补助总额不超过</w:t>
      </w:r>
      <w:r>
        <w:rPr>
          <w:rFonts w:hint="default" w:ascii="Times New Roman" w:hAnsi="Times New Roman" w:eastAsia="仿宋_GB2312" w:cs="Times New Roman"/>
          <w:color w:val="auto"/>
          <w:sz w:val="32"/>
          <w:szCs w:val="32"/>
          <w:lang w:val="en-US" w:eastAsia="zh-CN"/>
        </w:rPr>
        <w:t>80</w:t>
      </w:r>
      <w:r>
        <w:rPr>
          <w:rFonts w:hint="eastAsia" w:ascii="仿宋_GB2312" w:hAnsi="仿宋_GB2312" w:eastAsia="仿宋_GB2312" w:cs="仿宋_GB2312"/>
          <w:color w:val="auto"/>
          <w:sz w:val="32"/>
          <w:szCs w:val="32"/>
          <w:lang w:val="en-US" w:eastAsia="zh-CN"/>
        </w:rPr>
        <w:t>万元。项目补助以建设内容、投资规模、实施进度、验收结果等为依据，项目申报主体应结合实际，准确申报建设内容和投资规模。</w:t>
      </w:r>
      <w:r>
        <w:rPr>
          <w:rFonts w:hint="eastAsia" w:ascii="仿宋_GB2312" w:hAnsi="仿宋_GB2312" w:eastAsia="仿宋_GB2312" w:cs="仿宋_GB2312"/>
          <w:b/>
          <w:bCs/>
          <w:color w:val="auto"/>
          <w:sz w:val="32"/>
          <w:szCs w:val="32"/>
          <w:lang w:val="en-US" w:eastAsia="zh-CN"/>
        </w:rPr>
        <w:t>《广西壮族自治区林业局办公室关于开展</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年花卉产业项目申报工作的通知》</w:t>
      </w:r>
    </w:p>
    <w:p>
      <w:pPr>
        <w:numPr>
          <w:ilvl w:val="0"/>
          <w:numId w:val="0"/>
        </w:numPr>
        <w:spacing w:beforeLines="0" w:afterLines="0" w:line="59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.八角目标价格保险。</w:t>
      </w:r>
      <w:r>
        <w:rPr>
          <w:rFonts w:hint="eastAsia" w:ascii="仿宋_GB2312" w:hAnsi="仿宋_GB2312" w:eastAsia="仿宋_GB2312" w:cs="仿宋_GB2312"/>
          <w:b w:val="0"/>
          <w:bCs w:val="0"/>
          <w:color w:val="auto"/>
          <w:sz w:val="32"/>
          <w:szCs w:val="32"/>
          <w:lang w:val="en-US" w:eastAsia="zh-CN"/>
        </w:rPr>
        <w:t>保险责任：在保险期间内，当保险八角在约定上市期内的平均市场价格低于约定目标价格时，视为保险事故发生，保险人按照本保险合同的约定负责赔偿。平均市场价格参照上市期间内中药材天地网站（</w:t>
      </w:r>
      <w:r>
        <w:rPr>
          <w:rFonts w:hint="default" w:ascii="Times New Roman" w:hAnsi="Times New Roman" w:eastAsia="仿宋_GB2312" w:cs="Times New Roman"/>
          <w:b w:val="0"/>
          <w:bCs w:val="0"/>
          <w:color w:val="auto"/>
          <w:sz w:val="32"/>
          <w:szCs w:val="32"/>
          <w:lang w:val="en-US" w:eastAsia="zh-CN"/>
        </w:rPr>
        <w:t>https</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m</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zyctd</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com</w:t>
      </w:r>
      <w:r>
        <w:rPr>
          <w:rFonts w:hint="eastAsia" w:ascii="仿宋_GB2312" w:hAnsi="仿宋_GB2312" w:eastAsia="仿宋_GB2312" w:cs="仿宋_GB2312"/>
          <w:b w:val="0"/>
          <w:bCs w:val="0"/>
          <w:color w:val="auto"/>
          <w:sz w:val="32"/>
          <w:szCs w:val="32"/>
          <w:lang w:val="en-US" w:eastAsia="zh-CN"/>
        </w:rPr>
        <w:t>）发布的保险八角所属品种在广西壮族自治区玉林市市场价格的相关数据，由保险人、被保险人和政府相关部门共同确定。约定目标价格参照中药材天地网站（</w:t>
      </w:r>
      <w:r>
        <w:rPr>
          <w:rFonts w:hint="default" w:ascii="Times New Roman" w:hAnsi="Times New Roman" w:eastAsia="仿宋_GB2312" w:cs="Times New Roman"/>
          <w:b w:val="0"/>
          <w:bCs w:val="0"/>
          <w:color w:val="auto"/>
          <w:sz w:val="32"/>
          <w:szCs w:val="32"/>
          <w:lang w:val="en-US" w:eastAsia="zh-CN"/>
        </w:rPr>
        <w:t>https</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m</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zyctd</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com</w:t>
      </w:r>
      <w:r>
        <w:rPr>
          <w:rFonts w:hint="eastAsia" w:ascii="仿宋_GB2312" w:hAnsi="仿宋_GB2312" w:eastAsia="仿宋_GB2312" w:cs="仿宋_GB2312"/>
          <w:b w:val="0"/>
          <w:bCs w:val="0"/>
          <w:color w:val="auto"/>
          <w:sz w:val="32"/>
          <w:szCs w:val="32"/>
          <w:lang w:val="en-US" w:eastAsia="zh-CN"/>
        </w:rPr>
        <w:t>）公布的保险八角所属品种在广西壮族自治区玉林市近三年的平均市场价格，由投保人与保险人协商确定，并在保险单中载明。约定上市期由投保人与保险人协商确定，并在保险单中载明。</w:t>
      </w:r>
      <w:r>
        <w:rPr>
          <w:rFonts w:hint="eastAsia" w:ascii="仿宋_GB2312" w:hAnsi="仿宋_GB2312" w:eastAsia="仿宋_GB2312" w:cs="仿宋_GB2312"/>
          <w:b/>
          <w:bCs/>
          <w:color w:val="auto"/>
          <w:sz w:val="32"/>
          <w:szCs w:val="32"/>
          <w:lang w:val="en-US" w:eastAsia="zh-CN"/>
        </w:rPr>
        <w:t>《国寿财险广西壮族自治区玉林市地方财政补贴性八角目标价格保险条款》</w:t>
      </w:r>
    </w:p>
    <w:p>
      <w:pPr>
        <w:numPr>
          <w:ilvl w:val="0"/>
          <w:numId w:val="0"/>
        </w:numPr>
        <w:spacing w:beforeLines="0" w:afterLines="0" w:line="59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.林业生态旅游和森林康养。</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）奖励补助项目：①获得</w:t>
      </w:r>
      <w:r>
        <w:rPr>
          <w:rFonts w:hint="default" w:ascii="Times New Roman" w:hAnsi="Times New Roman" w:eastAsia="仿宋_GB2312" w:cs="Times New Roman"/>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val="en-US" w:eastAsia="zh-CN"/>
        </w:rPr>
        <w:t>年广西森林康养基地、森林人家、森林体验基地、自然教育基地、花卉苗木观光基地等林业生态旅游品牌单位；②获得</w:t>
      </w:r>
      <w:r>
        <w:rPr>
          <w:rFonts w:hint="default" w:ascii="Times New Roman" w:hAnsi="Times New Roman" w:eastAsia="仿宋_GB2312" w:cs="Times New Roman"/>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val="en-US" w:eastAsia="zh-CN"/>
        </w:rPr>
        <w:t>年国家级全域森林康养试点建设市、县（市、区）林业主管部门；③获得</w:t>
      </w:r>
      <w:r>
        <w:rPr>
          <w:rFonts w:hint="default" w:ascii="Times New Roman" w:hAnsi="Times New Roman" w:eastAsia="仿宋_GB2312" w:cs="Times New Roman"/>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val="en-US" w:eastAsia="zh-CN"/>
        </w:rPr>
        <w:t>年广西第三批森林康养服务体系试点建设基地并通过验收的单位。（</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）示范推广项目：①森林康养服务体系建设推广项目；②林业生态旅游品牌基地提质增效示范项目。（</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）补助限额及使用要求：项目补助以建设内容、投资规模、实施进度、验收结果等为依据。单个项目补助标准原则上不超过项目年度总投资的</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，项目申报主体应结合实际，准确申报建设内容和投资规模。</w:t>
      </w:r>
      <w:r>
        <w:rPr>
          <w:rFonts w:hint="eastAsia" w:ascii="仿宋_GB2312" w:hAnsi="仿宋_GB2312" w:eastAsia="仿宋_GB2312" w:cs="仿宋_GB2312"/>
          <w:b/>
          <w:bCs/>
          <w:color w:val="auto"/>
          <w:sz w:val="32"/>
          <w:szCs w:val="32"/>
          <w:lang w:val="en-US" w:eastAsia="zh-CN"/>
        </w:rPr>
        <w:t>《广西壮族自治区林业局办公室关于组织开展</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年林业生态旅游和森林康养基础设施建设补助项目申报工作的通知》</w:t>
      </w:r>
    </w:p>
    <w:p>
      <w:pPr>
        <w:numPr>
          <w:ilvl w:val="0"/>
          <w:numId w:val="0"/>
        </w:numPr>
        <w:spacing w:beforeLines="0" w:afterLines="0" w:line="590" w:lineRule="exact"/>
        <w:ind w:firstLine="642" w:firstLineChars="200"/>
        <w:jc w:val="both"/>
        <w:rPr>
          <w:rFonts w:hint="eastAsia" w:ascii="仿宋_GB2312" w:hAnsi="仿宋_GB2312" w:eastAsia="仿宋_GB2312" w:cs="仿宋_GB2312"/>
          <w:b/>
          <w:bCs/>
          <w:color w:val="0000FF"/>
          <w:sz w:val="32"/>
          <w:szCs w:val="32"/>
          <w:lang w:val="en-US" w:eastAsia="zh-CN"/>
        </w:rPr>
      </w:pPr>
      <w:r>
        <w:rPr>
          <w:rFonts w:hint="default"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.林下经济示范项目。</w:t>
      </w:r>
      <w:r>
        <w:rPr>
          <w:rFonts w:hint="eastAsia" w:ascii="仿宋_GB2312" w:hAnsi="仿宋_GB2312" w:eastAsia="仿宋_GB2312" w:cs="仿宋_GB2312"/>
          <w:b w:val="0"/>
          <w:bCs w:val="0"/>
          <w:color w:val="auto"/>
          <w:sz w:val="32"/>
          <w:szCs w:val="32"/>
          <w:lang w:val="en-US" w:eastAsia="zh-CN"/>
        </w:rPr>
        <w:t>实行直接补助方式支持项目。项目补助以建设内容、建设规模、投资规模、建设结果等为依据。单个项目补助标准原则上不超过项目年度总投资的</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，单个项目原则上补助金额不超过</w:t>
      </w:r>
      <w:r>
        <w:rPr>
          <w:rFonts w:hint="default" w:ascii="Times New Roman" w:hAnsi="Times New Roman" w:eastAsia="仿宋_GB2312" w:cs="Times New Roman"/>
          <w:b w:val="0"/>
          <w:bCs w:val="0"/>
          <w:color w:val="auto"/>
          <w:sz w:val="32"/>
          <w:szCs w:val="32"/>
          <w:lang w:val="en-US" w:eastAsia="zh-CN"/>
        </w:rPr>
        <w:t>200</w:t>
      </w:r>
      <w:r>
        <w:rPr>
          <w:rFonts w:hint="eastAsia" w:ascii="仿宋_GB2312" w:hAnsi="仿宋_GB2312" w:eastAsia="仿宋_GB2312" w:cs="仿宋_GB2312"/>
          <w:b w:val="0"/>
          <w:bCs w:val="0"/>
          <w:color w:val="auto"/>
          <w:sz w:val="32"/>
          <w:szCs w:val="32"/>
          <w:lang w:val="en-US" w:eastAsia="zh-CN"/>
        </w:rPr>
        <w:t>万元。项目申报主体应结合实际准确申报任务规模和投资规模。</w:t>
      </w:r>
      <w:r>
        <w:rPr>
          <w:rFonts w:hint="eastAsia" w:ascii="仿宋_GB2312" w:hAnsi="仿宋_GB2312" w:eastAsia="仿宋_GB2312" w:cs="仿宋_GB2312"/>
          <w:b w:val="0"/>
          <w:bCs w:val="0"/>
          <w:color w:val="0000FF"/>
          <w:sz w:val="32"/>
          <w:szCs w:val="32"/>
          <w:lang w:val="en-US" w:eastAsia="zh-CN"/>
        </w:rPr>
        <w:t>实行贷款贴息方式支持项目。财政贴息补助标准根据项目当年实际贷款额、贴息期内付息情况等因素给予一定贴息补助，贴息率为</w:t>
      </w:r>
      <w:r>
        <w:rPr>
          <w:rFonts w:hint="default" w:ascii="Times New Roman" w:hAnsi="Times New Roman" w:eastAsia="仿宋_GB2312" w:cs="Times New Roman"/>
          <w:b w:val="0"/>
          <w:bCs w:val="0"/>
          <w:color w:val="0000FF"/>
          <w:sz w:val="32"/>
          <w:szCs w:val="32"/>
          <w:lang w:val="en-US" w:eastAsia="zh-CN"/>
        </w:rPr>
        <w:t>3%</w:t>
      </w:r>
      <w:r>
        <w:rPr>
          <w:rFonts w:hint="eastAsia" w:ascii="仿宋_GB2312" w:hAnsi="仿宋_GB2312" w:eastAsia="仿宋_GB2312" w:cs="仿宋_GB2312"/>
          <w:b w:val="0"/>
          <w:bCs w:val="0"/>
          <w:color w:val="0000FF"/>
          <w:sz w:val="32"/>
          <w:szCs w:val="32"/>
          <w:lang w:val="en-US" w:eastAsia="zh-CN"/>
        </w:rPr>
        <w:t>，且单个支持对象当年贴息补助总额不超过</w:t>
      </w:r>
      <w:r>
        <w:rPr>
          <w:rFonts w:hint="default" w:ascii="Times New Roman" w:hAnsi="Times New Roman" w:eastAsia="仿宋_GB2312" w:cs="Times New Roman"/>
          <w:b w:val="0"/>
          <w:bCs w:val="0"/>
          <w:color w:val="0000FF"/>
          <w:sz w:val="32"/>
          <w:szCs w:val="32"/>
          <w:lang w:val="en-US" w:eastAsia="zh-CN"/>
        </w:rPr>
        <w:t>100</w:t>
      </w:r>
      <w:r>
        <w:rPr>
          <w:rFonts w:hint="eastAsia" w:ascii="仿宋_GB2312" w:hAnsi="仿宋_GB2312" w:eastAsia="仿宋_GB2312" w:cs="仿宋_GB2312"/>
          <w:b w:val="0"/>
          <w:bCs w:val="0"/>
          <w:color w:val="0000FF"/>
          <w:sz w:val="32"/>
          <w:szCs w:val="32"/>
          <w:lang w:val="en-US" w:eastAsia="zh-CN"/>
        </w:rPr>
        <w:t>万元。</w:t>
      </w:r>
      <w:r>
        <w:rPr>
          <w:rFonts w:hint="eastAsia" w:ascii="仿宋_GB2312" w:hAnsi="仿宋_GB2312" w:eastAsia="仿宋_GB2312" w:cs="仿宋_GB2312"/>
          <w:b/>
          <w:bCs/>
          <w:color w:val="0000FF"/>
          <w:sz w:val="32"/>
          <w:szCs w:val="32"/>
          <w:lang w:val="en-US" w:eastAsia="zh-CN"/>
        </w:rPr>
        <w:t>《广西壮族自治区林业局办公室关于组织开展</w:t>
      </w:r>
      <w:r>
        <w:rPr>
          <w:rFonts w:hint="default" w:ascii="Times New Roman" w:hAnsi="Times New Roman" w:eastAsia="仿宋_GB2312" w:cs="Times New Roman"/>
          <w:b/>
          <w:bCs/>
          <w:color w:val="0000FF"/>
          <w:sz w:val="32"/>
          <w:szCs w:val="32"/>
          <w:lang w:val="en-US" w:eastAsia="zh-CN"/>
        </w:rPr>
        <w:t>2025</w:t>
      </w:r>
      <w:r>
        <w:rPr>
          <w:rFonts w:hint="eastAsia" w:ascii="仿宋_GB2312" w:hAnsi="仿宋_GB2312" w:eastAsia="仿宋_GB2312" w:cs="仿宋_GB2312"/>
          <w:b/>
          <w:bCs/>
          <w:color w:val="0000FF"/>
          <w:sz w:val="32"/>
          <w:szCs w:val="32"/>
          <w:lang w:val="en-US" w:eastAsia="zh-CN"/>
        </w:rPr>
        <w:t>年自治区林下经济示范项目申报工作的通知》（桂林办改字〔</w:t>
      </w:r>
      <w:r>
        <w:rPr>
          <w:rFonts w:hint="default" w:ascii="Times New Roman" w:hAnsi="Times New Roman" w:eastAsia="仿宋_GB2312" w:cs="Times New Roman"/>
          <w:b/>
          <w:bCs/>
          <w:color w:val="0000FF"/>
          <w:sz w:val="32"/>
          <w:szCs w:val="32"/>
          <w:lang w:val="en-US" w:eastAsia="zh-CN"/>
        </w:rPr>
        <w:t>2024</w:t>
      </w:r>
      <w:r>
        <w:rPr>
          <w:rFonts w:hint="eastAsia" w:ascii="仿宋_GB2312" w:hAnsi="仿宋_GB2312" w:eastAsia="仿宋_GB2312" w:cs="仿宋_GB2312"/>
          <w:b/>
          <w:bCs/>
          <w:color w:val="0000FF"/>
          <w:sz w:val="32"/>
          <w:szCs w:val="32"/>
          <w:lang w:val="en-US" w:eastAsia="zh-CN"/>
        </w:rPr>
        <w:t>〕</w:t>
      </w:r>
      <w:r>
        <w:rPr>
          <w:rFonts w:hint="default" w:ascii="Times New Roman" w:hAnsi="Times New Roman" w:eastAsia="仿宋_GB2312" w:cs="Times New Roman"/>
          <w:b/>
          <w:bCs/>
          <w:color w:val="0000FF"/>
          <w:sz w:val="32"/>
          <w:szCs w:val="32"/>
          <w:lang w:val="en-US" w:eastAsia="zh-CN"/>
        </w:rPr>
        <w:t>3</w:t>
      </w:r>
      <w:r>
        <w:rPr>
          <w:rFonts w:hint="eastAsia" w:ascii="仿宋_GB2312" w:hAnsi="仿宋_GB2312" w:eastAsia="仿宋_GB2312" w:cs="仿宋_GB2312"/>
          <w:b/>
          <w:bCs/>
          <w:color w:val="0000FF"/>
          <w:sz w:val="32"/>
          <w:szCs w:val="32"/>
          <w:lang w:val="en-US" w:eastAsia="zh-CN"/>
        </w:rPr>
        <w:t>号）</w:t>
      </w:r>
    </w:p>
    <w:p>
      <w:pPr>
        <w:numPr>
          <w:ilvl w:val="0"/>
          <w:numId w:val="0"/>
        </w:numPr>
        <w:spacing w:beforeLines="0" w:afterLines="0" w:line="59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.油茶产业。</w:t>
      </w:r>
      <w:r>
        <w:rPr>
          <w:rFonts w:hint="eastAsia" w:ascii="仿宋_GB2312" w:hAnsi="仿宋_GB2312" w:eastAsia="仿宋_GB2312" w:cs="仿宋_GB2312"/>
          <w:b w:val="0"/>
          <w:bCs w:val="0"/>
          <w:color w:val="auto"/>
          <w:sz w:val="32"/>
          <w:szCs w:val="32"/>
          <w:lang w:val="en-US" w:eastAsia="zh-CN"/>
        </w:rPr>
        <w:t xml:space="preserve">强化资金保障。 对油茶新造林，在自治区补助 </w:t>
      </w:r>
      <w:r>
        <w:rPr>
          <w:rFonts w:hint="default" w:ascii="Times New Roman" w:hAnsi="Times New Roman" w:eastAsia="仿宋_GB2312" w:cs="Times New Roman"/>
          <w:b w:val="0"/>
          <w:bCs w:val="0"/>
          <w:color w:val="auto"/>
          <w:sz w:val="32"/>
          <w:szCs w:val="32"/>
          <w:lang w:val="en-US" w:eastAsia="zh-CN"/>
        </w:rPr>
        <w:t>1000</w:t>
      </w:r>
      <w:r>
        <w:rPr>
          <w:rFonts w:hint="eastAsia" w:ascii="仿宋_GB2312" w:hAnsi="仿宋_GB2312" w:eastAsia="仿宋_GB2312" w:cs="仿宋_GB2312"/>
          <w:b w:val="0"/>
          <w:bCs w:val="0"/>
          <w:color w:val="auto"/>
          <w:sz w:val="32"/>
          <w:szCs w:val="32"/>
          <w:lang w:val="en-US" w:eastAsia="zh-CN"/>
        </w:rPr>
        <w:t xml:space="preserve">元/亩的基础上, 市级按 </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 xml:space="preserve"> 元/亩、 县级按 </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 xml:space="preserve"> 元/亩分别给予补助，不足部分由种植户贷款或自筹解决。油茶低产林更新改造嫁接改造按新造林标准执行。对油茶低产林抚育改造、截干更新、在自治区补助</w:t>
      </w:r>
      <w:r>
        <w:rPr>
          <w:rFonts w:hint="default" w:ascii="Times New Roman" w:hAnsi="Times New Roman" w:eastAsia="仿宋_GB2312" w:cs="Times New Roman"/>
          <w:b w:val="0"/>
          <w:bCs w:val="0"/>
          <w:color w:val="auto"/>
          <w:sz w:val="32"/>
          <w:szCs w:val="32"/>
          <w:lang w:val="en-US" w:eastAsia="zh-CN"/>
        </w:rPr>
        <w:t>600</w:t>
      </w:r>
      <w:r>
        <w:rPr>
          <w:rFonts w:hint="eastAsia" w:ascii="仿宋_GB2312" w:hAnsi="仿宋_GB2312" w:eastAsia="仿宋_GB2312" w:cs="仿宋_GB2312"/>
          <w:b w:val="0"/>
          <w:bCs w:val="0"/>
          <w:color w:val="auto"/>
          <w:sz w:val="32"/>
          <w:szCs w:val="32"/>
          <w:lang w:val="en-US" w:eastAsia="zh-CN"/>
        </w:rPr>
        <w:t xml:space="preserve">元/亩的基础上, 市级按 </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 xml:space="preserve"> 元/亩、 县级按</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 xml:space="preserve">元/亩分别给予补助, 不足部分由种植户贷款或自筹解决。财政补助资金分 </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 xml:space="preserve"> 年兑现到位, 每年兑现 </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《玉</w:t>
      </w:r>
      <w:r>
        <w:rPr>
          <w:rFonts w:hint="eastAsia" w:ascii="仿宋_GB2312" w:hAnsi="仿宋_GB2312" w:eastAsia="仿宋_GB2312" w:cs="仿宋_GB2312"/>
          <w:b/>
          <w:bCs/>
          <w:color w:val="auto"/>
          <w:spacing w:val="6"/>
          <w:sz w:val="32"/>
          <w:szCs w:val="32"/>
          <w:lang w:val="en-US" w:eastAsia="zh-CN"/>
        </w:rPr>
        <w:t>林市林业局 玉林市发展和改革委员会 玉林市财政局关于印发玉林市油茶产业发展三年行动工作方案（</w:t>
      </w:r>
      <w:r>
        <w:rPr>
          <w:rFonts w:hint="default" w:ascii="Times New Roman" w:hAnsi="Times New Roman" w:eastAsia="仿宋_GB2312" w:cs="Times New Roman"/>
          <w:b/>
          <w:bCs/>
          <w:color w:val="auto"/>
          <w:spacing w:val="6"/>
          <w:sz w:val="32"/>
          <w:szCs w:val="32"/>
          <w:lang w:val="en-US" w:eastAsia="zh-CN"/>
        </w:rPr>
        <w:t>2023</w:t>
      </w:r>
      <w:r>
        <w:rPr>
          <w:rFonts w:hint="eastAsia" w:ascii="仿宋_GB2312" w:hAnsi="仿宋_GB2312" w:eastAsia="仿宋_GB2312" w:cs="仿宋_GB2312"/>
          <w:b/>
          <w:bCs/>
          <w:color w:val="auto"/>
          <w:spacing w:val="6"/>
          <w:sz w:val="32"/>
          <w:szCs w:val="32"/>
          <w:lang w:val="en-US" w:eastAsia="zh-CN"/>
        </w:rPr>
        <w:t>－</w:t>
      </w:r>
      <w:r>
        <w:rPr>
          <w:rFonts w:hint="default" w:ascii="Times New Roman" w:hAnsi="Times New Roman" w:eastAsia="仿宋_GB2312" w:cs="Times New Roman"/>
          <w:b/>
          <w:bCs/>
          <w:color w:val="auto"/>
          <w:spacing w:val="6"/>
          <w:sz w:val="32"/>
          <w:szCs w:val="32"/>
          <w:lang w:val="en-US" w:eastAsia="zh-CN"/>
        </w:rPr>
        <w:t>2025</w:t>
      </w:r>
      <w:r>
        <w:rPr>
          <w:rFonts w:hint="eastAsia" w:ascii="仿宋_GB2312" w:hAnsi="仿宋_GB2312" w:eastAsia="仿宋_GB2312" w:cs="仿宋_GB2312"/>
          <w:b/>
          <w:bCs/>
          <w:color w:val="auto"/>
          <w:spacing w:val="6"/>
          <w:sz w:val="32"/>
          <w:szCs w:val="32"/>
          <w:lang w:val="en-US" w:eastAsia="zh-CN"/>
        </w:rPr>
        <w:t>年）的通知》</w:t>
      </w:r>
    </w:p>
    <w:p>
      <w:pPr>
        <w:numPr>
          <w:ilvl w:val="0"/>
          <w:numId w:val="0"/>
        </w:numPr>
        <w:spacing w:beforeLines="0" w:afterLines="0" w:line="59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.八角低效林改造。</w:t>
      </w:r>
      <w:r>
        <w:rPr>
          <w:rFonts w:hint="eastAsia" w:ascii="仿宋_GB2312" w:hAnsi="仿宋_GB2312" w:eastAsia="仿宋_GB2312" w:cs="仿宋_GB2312"/>
          <w:b w:val="0"/>
          <w:bCs w:val="0"/>
          <w:color w:val="auto"/>
          <w:sz w:val="32"/>
          <w:szCs w:val="32"/>
          <w:lang w:val="en-US" w:eastAsia="zh-CN"/>
        </w:rPr>
        <w:t>对评定为四星级示范区的给予</w:t>
      </w:r>
      <w:r>
        <w:rPr>
          <w:rFonts w:hint="default" w:ascii="Times New Roman" w:hAnsi="Times New Roman" w:eastAsia="仿宋_GB2312" w:cs="Times New Roman"/>
          <w:b w:val="0"/>
          <w:bCs w:val="0"/>
          <w:color w:val="auto"/>
          <w:sz w:val="32"/>
          <w:szCs w:val="32"/>
          <w:lang w:val="en-US" w:eastAsia="zh-CN"/>
        </w:rPr>
        <w:t>1000</w:t>
      </w:r>
      <w:r>
        <w:rPr>
          <w:rFonts w:hint="eastAsia" w:ascii="仿宋_GB2312" w:hAnsi="仿宋_GB2312" w:eastAsia="仿宋_GB2312" w:cs="仿宋_GB2312"/>
          <w:b w:val="0"/>
          <w:bCs w:val="0"/>
          <w:color w:val="auto"/>
          <w:sz w:val="32"/>
          <w:szCs w:val="32"/>
          <w:lang w:val="en-US" w:eastAsia="zh-CN"/>
        </w:rPr>
        <w:t>元/亩的补助（含上级资金），单个项目最高不超过</w:t>
      </w:r>
      <w:r>
        <w:rPr>
          <w:rFonts w:hint="default" w:ascii="Times New Roman" w:hAnsi="Times New Roman" w:eastAsia="仿宋_GB2312" w:cs="Times New Roman"/>
          <w:b w:val="0"/>
          <w:bCs w:val="0"/>
          <w:color w:val="auto"/>
          <w:sz w:val="32"/>
          <w:szCs w:val="32"/>
          <w:lang w:val="en-US" w:eastAsia="zh-CN"/>
        </w:rPr>
        <w:t>40</w:t>
      </w:r>
      <w:r>
        <w:rPr>
          <w:rFonts w:hint="eastAsia" w:ascii="仿宋_GB2312" w:hAnsi="仿宋_GB2312" w:eastAsia="仿宋_GB2312" w:cs="仿宋_GB2312"/>
          <w:b w:val="0"/>
          <w:bCs w:val="0"/>
          <w:color w:val="auto"/>
          <w:sz w:val="32"/>
          <w:szCs w:val="32"/>
          <w:lang w:val="en-US" w:eastAsia="zh-CN"/>
        </w:rPr>
        <w:t>万元对评定为五星级示范区的给予</w:t>
      </w:r>
      <w:r>
        <w:rPr>
          <w:rFonts w:hint="default" w:ascii="Times New Roman" w:hAnsi="Times New Roman" w:eastAsia="仿宋_GB2312" w:cs="Times New Roman"/>
          <w:b w:val="0"/>
          <w:bCs w:val="0"/>
          <w:color w:val="auto"/>
          <w:sz w:val="32"/>
          <w:szCs w:val="32"/>
          <w:lang w:val="en-US" w:eastAsia="zh-CN"/>
        </w:rPr>
        <w:t>1200</w:t>
      </w:r>
      <w:r>
        <w:rPr>
          <w:rFonts w:hint="eastAsia" w:ascii="仿宋_GB2312" w:hAnsi="仿宋_GB2312" w:eastAsia="仿宋_GB2312" w:cs="仿宋_GB2312"/>
          <w:b w:val="0"/>
          <w:bCs w:val="0"/>
          <w:color w:val="auto"/>
          <w:sz w:val="32"/>
          <w:szCs w:val="32"/>
          <w:lang w:val="en-US" w:eastAsia="zh-CN"/>
        </w:rPr>
        <w:t>元/亩的补助（含上级资金），单个项目最高不超过</w:t>
      </w:r>
      <w:r>
        <w:rPr>
          <w:rFonts w:hint="default" w:ascii="Times New Roman" w:hAnsi="Times New Roman" w:eastAsia="仿宋_GB2312" w:cs="Times New Roman"/>
          <w:b w:val="0"/>
          <w:bCs w:val="0"/>
          <w:color w:val="auto"/>
          <w:sz w:val="32"/>
          <w:szCs w:val="32"/>
          <w:lang w:val="en-US" w:eastAsia="zh-CN"/>
        </w:rPr>
        <w:t>80</w:t>
      </w:r>
      <w:r>
        <w:rPr>
          <w:rFonts w:hint="eastAsia" w:ascii="仿宋_GB2312" w:hAnsi="仿宋_GB2312" w:eastAsia="仿宋_GB2312" w:cs="仿宋_GB2312"/>
          <w:b w:val="0"/>
          <w:bCs w:val="0"/>
          <w:color w:val="auto"/>
          <w:sz w:val="32"/>
          <w:szCs w:val="32"/>
          <w:lang w:val="en-US" w:eastAsia="zh-CN"/>
        </w:rPr>
        <w:t>万元。同一地块只能享受一次补助，同一实施主体一年内只能申报一个项目。</w:t>
      </w:r>
      <w:r>
        <w:rPr>
          <w:rFonts w:hint="eastAsia" w:ascii="仿宋_GB2312" w:hAnsi="仿宋_GB2312" w:eastAsia="仿宋_GB2312" w:cs="仿宋_GB2312"/>
          <w:b/>
          <w:bCs/>
          <w:color w:val="auto"/>
          <w:sz w:val="32"/>
          <w:szCs w:val="32"/>
          <w:lang w:val="en-US" w:eastAsia="zh-CN"/>
        </w:rPr>
        <w:t>《玉林市林业局关于印发玉林市八角低效林改造奖补实施办法（</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年）的通知》</w:t>
      </w:r>
    </w:p>
    <w:p>
      <w:pPr>
        <w:numPr>
          <w:ilvl w:val="0"/>
          <w:numId w:val="0"/>
        </w:numPr>
        <w:spacing w:beforeLines="0" w:afterLines="0" w:line="59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w:t>
      </w:r>
      <w:r>
        <w:rPr>
          <w:rFonts w:hint="eastAsia" w:ascii="仿宋_GB2312" w:hAnsi="仿宋_GB2312" w:eastAsia="仿宋_GB2312" w:cs="仿宋_GB2312"/>
          <w:b/>
          <w:bCs/>
          <w:color w:val="auto"/>
          <w:sz w:val="32"/>
          <w:szCs w:val="32"/>
          <w:lang w:val="en-US" w:eastAsia="zh-CN"/>
        </w:rPr>
        <w:t>.林源香料种植业。</w:t>
      </w:r>
      <w:r>
        <w:rPr>
          <w:rFonts w:hint="eastAsia" w:ascii="仿宋_GB2312" w:hAnsi="仿宋_GB2312" w:eastAsia="仿宋_GB2312" w:cs="仿宋_GB2312"/>
          <w:b w:val="0"/>
          <w:bCs w:val="0"/>
          <w:color w:val="auto"/>
          <w:sz w:val="32"/>
          <w:szCs w:val="32"/>
          <w:lang w:val="en-US" w:eastAsia="zh-CN"/>
        </w:rPr>
        <w:t>加大新造林项目资金支持。加大对木本香料原料种植基地建设支持力度,向自治区争取年度中央造林补贴和国家特殊及珍稀林木培育等项目资金将八角、肉桂等林源香料新造林优先纳入中央造林补贴范畴给予</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元/亩补助；将沉香新造林优先纳入国家特殊及珍稀林木培育项目范畴给予</w:t>
      </w:r>
      <w:r>
        <w:rPr>
          <w:rFonts w:hint="default" w:ascii="Times New Roman" w:hAnsi="Times New Roman" w:eastAsia="仿宋_GB2312" w:cs="Times New Roman"/>
          <w:b w:val="0"/>
          <w:bCs w:val="0"/>
          <w:color w:val="auto"/>
          <w:sz w:val="32"/>
          <w:szCs w:val="32"/>
          <w:lang w:val="en-US" w:eastAsia="zh-CN"/>
        </w:rPr>
        <w:t>900</w:t>
      </w:r>
      <w:r>
        <w:rPr>
          <w:rFonts w:hint="eastAsia" w:ascii="仿宋_GB2312" w:hAnsi="仿宋_GB2312" w:eastAsia="仿宋_GB2312" w:cs="仿宋_GB2312"/>
          <w:b w:val="0"/>
          <w:bCs w:val="0"/>
          <w:color w:val="auto"/>
          <w:sz w:val="32"/>
          <w:szCs w:val="32"/>
          <w:lang w:val="en-US" w:eastAsia="zh-CN"/>
        </w:rPr>
        <w:t>元/亩补助。</w:t>
      </w:r>
      <w:r>
        <w:rPr>
          <w:rFonts w:hint="eastAsia" w:ascii="仿宋_GB2312" w:hAnsi="仿宋_GB2312" w:eastAsia="仿宋_GB2312" w:cs="仿宋_GB2312"/>
          <w:b/>
          <w:bCs/>
          <w:color w:val="auto"/>
          <w:sz w:val="32"/>
          <w:szCs w:val="32"/>
          <w:lang w:val="en-US" w:eastAsia="zh-CN"/>
        </w:rPr>
        <w:t>《玉林市人民政府办公室关于印发玉林市林源香料种植业提质增效三年行动方案（</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年）的通知》</w:t>
      </w:r>
    </w:p>
    <w:p>
      <w:pPr>
        <w:pStyle w:val="4"/>
        <w:keepNext w:val="0"/>
        <w:keepLines w:val="0"/>
        <w:spacing w:before="0" w:beforeAutospacing="0" w:after="0" w:afterAutospacing="0" w:line="590" w:lineRule="exact"/>
        <w:ind w:firstLine="642" w:firstLineChars="200"/>
        <w:outlineLvl w:val="1"/>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（二）农业税收优惠</w:t>
      </w:r>
    </w:p>
    <w:p>
      <w:pPr>
        <w:numPr>
          <w:ilvl w:val="0"/>
          <w:numId w:val="0"/>
        </w:numPr>
        <w:spacing w:beforeLines="0" w:afterLines="0" w:line="59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9</w:t>
      </w:r>
      <w:r>
        <w:rPr>
          <w:rFonts w:hint="eastAsia" w:ascii="仿宋_GB2312" w:hAnsi="仿宋_GB2312" w:eastAsia="仿宋_GB2312" w:cs="仿宋_GB2312"/>
          <w:b/>
          <w:bCs/>
          <w:color w:val="auto"/>
          <w:sz w:val="32"/>
          <w:szCs w:val="32"/>
          <w:lang w:val="en-US" w:eastAsia="zh-CN"/>
        </w:rPr>
        <w:t>.自产农产品。</w:t>
      </w:r>
      <w:r>
        <w:rPr>
          <w:rFonts w:hint="eastAsia" w:ascii="仿宋_GB2312" w:hAnsi="仿宋_GB2312" w:eastAsia="仿宋_GB2312" w:cs="仿宋_GB2312"/>
          <w:b w:val="0"/>
          <w:bCs w:val="0"/>
          <w:color w:val="auto"/>
          <w:sz w:val="32"/>
          <w:szCs w:val="32"/>
          <w:lang w:val="en-US" w:eastAsia="zh-CN"/>
        </w:rPr>
        <w:t>农业生产者销售的自产农产品免征增值税。</w:t>
      </w:r>
      <w:r>
        <w:rPr>
          <w:rFonts w:hint="eastAsia" w:ascii="仿宋_GB2312" w:hAnsi="仿宋_GB2312" w:eastAsia="仿宋_GB2312" w:cs="仿宋_GB2312"/>
          <w:b/>
          <w:bCs/>
          <w:color w:val="auto"/>
          <w:sz w:val="32"/>
          <w:szCs w:val="32"/>
          <w:lang w:val="en-US" w:eastAsia="zh-CN"/>
        </w:rPr>
        <w:t>《中华人民共和国增值税暂行条例》（中华人民共和国国务院令第</w:t>
      </w:r>
      <w:r>
        <w:rPr>
          <w:rFonts w:hint="default" w:ascii="Times New Roman" w:hAnsi="Times New Roman" w:eastAsia="仿宋_GB2312" w:cs="Times New Roman"/>
          <w:b/>
          <w:bCs/>
          <w:color w:val="auto"/>
          <w:sz w:val="32"/>
          <w:szCs w:val="32"/>
          <w:lang w:val="en-US" w:eastAsia="zh-CN"/>
        </w:rPr>
        <w:t>134</w:t>
      </w:r>
      <w:r>
        <w:rPr>
          <w:rFonts w:hint="eastAsia" w:ascii="仿宋_GB2312" w:hAnsi="仿宋_GB2312" w:eastAsia="仿宋_GB2312" w:cs="仿宋_GB2312"/>
          <w:b/>
          <w:bCs/>
          <w:color w:val="auto"/>
          <w:sz w:val="32"/>
          <w:szCs w:val="32"/>
          <w:lang w:val="en-US" w:eastAsia="zh-CN"/>
        </w:rPr>
        <w:t>号）《中华人民共和国增值税暂行条例实施细则》（中华人民共和国财政部 国家税务总局令第</w:t>
      </w:r>
      <w:r>
        <w:rPr>
          <w:rFonts w:hint="default" w:ascii="Times New Roman" w:hAnsi="Times New Roman" w:eastAsia="仿宋_GB2312" w:cs="Times New Roman"/>
          <w:b/>
          <w:bCs/>
          <w:color w:val="auto"/>
          <w:sz w:val="32"/>
          <w:szCs w:val="32"/>
          <w:lang w:val="en-US" w:eastAsia="zh-CN"/>
        </w:rPr>
        <w:t>65</w:t>
      </w:r>
      <w:r>
        <w:rPr>
          <w:rFonts w:hint="eastAsia" w:ascii="仿宋_GB2312" w:hAnsi="仿宋_GB2312" w:eastAsia="仿宋_GB2312" w:cs="仿宋_GB2312"/>
          <w:b/>
          <w:bCs/>
          <w:color w:val="auto"/>
          <w:sz w:val="32"/>
          <w:szCs w:val="32"/>
          <w:lang w:val="en-US" w:eastAsia="zh-CN"/>
        </w:rPr>
        <w:t>号）《中华人民共和国增值税法》（中华人民共和国主席令第四十一号）</w:t>
      </w:r>
    </w:p>
    <w:p>
      <w:pPr>
        <w:numPr>
          <w:ilvl w:val="0"/>
          <w:numId w:val="0"/>
        </w:numPr>
        <w:spacing w:beforeLines="0" w:afterLines="0" w:line="59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10</w:t>
      </w:r>
      <w:r>
        <w:rPr>
          <w:rFonts w:hint="eastAsia" w:ascii="仿宋_GB2312" w:hAnsi="仿宋_GB2312" w:eastAsia="仿宋_GB2312" w:cs="仿宋_GB2312"/>
          <w:b/>
          <w:bCs/>
          <w:color w:val="auto"/>
          <w:sz w:val="32"/>
          <w:szCs w:val="32"/>
          <w:lang w:val="en-US" w:eastAsia="zh-CN"/>
        </w:rPr>
        <w:t>.农、林、牧、渔业项目。</w:t>
      </w:r>
      <w:r>
        <w:rPr>
          <w:rFonts w:hint="eastAsia" w:ascii="仿宋_GB2312" w:hAnsi="仿宋_GB2312" w:eastAsia="仿宋_GB2312" w:cs="仿宋_GB2312"/>
          <w:b w:val="0"/>
          <w:bCs w:val="0"/>
          <w:color w:val="auto"/>
          <w:sz w:val="32"/>
          <w:szCs w:val="32"/>
          <w:lang w:val="en-US" w:eastAsia="zh-CN"/>
        </w:rPr>
        <w:t>从事农、林、牧、渔业项目减免企业所得税。</w:t>
      </w:r>
      <w:r>
        <w:rPr>
          <w:rFonts w:hint="eastAsia" w:ascii="仿宋_GB2312" w:hAnsi="仿宋_GB2312" w:eastAsia="仿宋_GB2312" w:cs="仿宋_GB2312"/>
          <w:b/>
          <w:bCs/>
          <w:color w:val="auto"/>
          <w:sz w:val="32"/>
          <w:szCs w:val="32"/>
          <w:lang w:val="en-US" w:eastAsia="zh-CN"/>
        </w:rPr>
        <w:t>《中华人民共和国企业所得税法》（中华人民共和国主席令第</w:t>
      </w:r>
      <w:r>
        <w:rPr>
          <w:rFonts w:hint="default" w:ascii="Times New Roman" w:hAnsi="Times New Roman" w:eastAsia="仿宋_GB2312" w:cs="Times New Roman"/>
          <w:b/>
          <w:bCs/>
          <w:color w:val="auto"/>
          <w:sz w:val="32"/>
          <w:szCs w:val="32"/>
          <w:lang w:val="en-US" w:eastAsia="zh-CN"/>
        </w:rPr>
        <w:t>63</w:t>
      </w:r>
      <w:r>
        <w:rPr>
          <w:rFonts w:hint="eastAsia" w:ascii="仿宋_GB2312" w:hAnsi="仿宋_GB2312" w:eastAsia="仿宋_GB2312" w:cs="仿宋_GB2312"/>
          <w:b/>
          <w:bCs/>
          <w:color w:val="auto"/>
          <w:sz w:val="32"/>
          <w:szCs w:val="32"/>
          <w:lang w:val="en-US" w:eastAsia="zh-CN"/>
        </w:rPr>
        <w:t>号）《中华人民共和国企业所得税法实施条例》（中华人民共和国国务院令第</w:t>
      </w:r>
      <w:r>
        <w:rPr>
          <w:rFonts w:hint="default" w:ascii="Times New Roman" w:hAnsi="Times New Roman" w:eastAsia="仿宋_GB2312" w:cs="Times New Roman"/>
          <w:b/>
          <w:bCs/>
          <w:color w:val="auto"/>
          <w:sz w:val="32"/>
          <w:szCs w:val="32"/>
          <w:lang w:val="en-US" w:eastAsia="zh-CN"/>
        </w:rPr>
        <w:t>512</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9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11</w:t>
      </w:r>
      <w:r>
        <w:rPr>
          <w:rFonts w:hint="eastAsia" w:ascii="仿宋_GB2312" w:hAnsi="仿宋_GB2312" w:eastAsia="仿宋_GB2312" w:cs="仿宋_GB2312"/>
          <w:b/>
          <w:bCs/>
          <w:color w:val="auto"/>
          <w:sz w:val="32"/>
          <w:szCs w:val="32"/>
          <w:lang w:val="en-US" w:eastAsia="zh-CN"/>
        </w:rPr>
        <w:t>.农、林、牧、渔业生产用地。</w:t>
      </w:r>
      <w:r>
        <w:rPr>
          <w:rFonts w:hint="eastAsia" w:ascii="仿宋_GB2312" w:hAnsi="仿宋_GB2312" w:eastAsia="仿宋_GB2312" w:cs="仿宋_GB2312"/>
          <w:b w:val="0"/>
          <w:bCs w:val="0"/>
          <w:color w:val="auto"/>
          <w:sz w:val="32"/>
          <w:szCs w:val="32"/>
          <w:lang w:val="en-US" w:eastAsia="zh-CN"/>
        </w:rPr>
        <w:t>直接用于农、林、牧、渔业生产用地免征城镇土地使用税。</w:t>
      </w:r>
      <w:r>
        <w:rPr>
          <w:rFonts w:hint="eastAsia" w:ascii="仿宋_GB2312" w:hAnsi="仿宋_GB2312" w:eastAsia="仿宋_GB2312" w:cs="仿宋_GB2312"/>
          <w:b/>
          <w:bCs/>
          <w:color w:val="auto"/>
          <w:sz w:val="32"/>
          <w:szCs w:val="32"/>
          <w:lang w:val="en-US" w:eastAsia="zh-CN"/>
        </w:rPr>
        <w:t>《中华人民共和国城镇土地使用税暂行条例》</w:t>
      </w:r>
    </w:p>
    <w:p>
      <w:pPr>
        <w:numPr>
          <w:ilvl w:val="0"/>
          <w:numId w:val="0"/>
        </w:numPr>
        <w:spacing w:beforeLines="0" w:afterLines="0" w:line="59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12</w:t>
      </w:r>
      <w:r>
        <w:rPr>
          <w:rFonts w:hint="eastAsia" w:ascii="仿宋_GB2312" w:hAnsi="仿宋_GB2312" w:eastAsia="仿宋_GB2312" w:cs="仿宋_GB2312"/>
          <w:b/>
          <w:bCs/>
          <w:color w:val="auto"/>
          <w:sz w:val="32"/>
          <w:szCs w:val="32"/>
          <w:lang w:val="en-US" w:eastAsia="zh-CN"/>
        </w:rPr>
        <w:t>.农贸市场税收优惠。</w:t>
      </w:r>
      <w:r>
        <w:rPr>
          <w:rFonts w:hint="eastAsia" w:ascii="仿宋_GB2312" w:hAnsi="仿宋_GB2312" w:eastAsia="仿宋_GB2312" w:cs="仿宋_GB2312"/>
          <w:b w:val="0"/>
          <w:bCs w:val="0"/>
          <w:color w:val="auto"/>
          <w:sz w:val="32"/>
          <w:szCs w:val="32"/>
          <w:lang w:val="en-US" w:eastAsia="zh-CN"/>
        </w:rPr>
        <w:t>农产品批发市场、农贸市场免征房产税、城镇土地使用税。</w:t>
      </w:r>
      <w:r>
        <w:rPr>
          <w:rFonts w:hint="eastAsia" w:ascii="仿宋_GB2312" w:hAnsi="仿宋_GB2312" w:eastAsia="仿宋_GB2312" w:cs="仿宋_GB2312"/>
          <w:b/>
          <w:bCs/>
          <w:color w:val="auto"/>
          <w:sz w:val="32"/>
          <w:szCs w:val="32"/>
          <w:lang w:val="en-US" w:eastAsia="zh-CN"/>
        </w:rPr>
        <w:t>《财政部 税务总局关于继续实施农产品批发市场和农贸市场房产税、城镇土地使用税优惠政策的公告》（财政部 税务总局公告</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年第</w:t>
      </w:r>
      <w:r>
        <w:rPr>
          <w:rFonts w:hint="default" w:ascii="Times New Roman" w:hAnsi="Times New Roman" w:eastAsia="仿宋_GB2312" w:cs="Times New Roman"/>
          <w:b/>
          <w:bCs/>
          <w:color w:val="auto"/>
          <w:sz w:val="32"/>
          <w:szCs w:val="32"/>
          <w:lang w:val="en-US" w:eastAsia="zh-CN"/>
        </w:rPr>
        <w:t>50</w:t>
      </w:r>
      <w:r>
        <w:rPr>
          <w:rFonts w:hint="eastAsia" w:ascii="仿宋_GB2312" w:hAnsi="仿宋_GB2312" w:eastAsia="仿宋_GB2312" w:cs="仿宋_GB2312"/>
          <w:b/>
          <w:bCs/>
          <w:color w:val="auto"/>
          <w:sz w:val="32"/>
          <w:szCs w:val="32"/>
          <w:lang w:val="en-US" w:eastAsia="zh-CN"/>
        </w:rPr>
        <w:t>号）</w:t>
      </w:r>
    </w:p>
    <w:p>
      <w:pPr>
        <w:numPr>
          <w:ilvl w:val="-1"/>
          <w:numId w:val="0"/>
        </w:numPr>
        <w:spacing w:beforeLines="0" w:afterLines="0" w:line="560" w:lineRule="exact"/>
        <w:ind w:firstLine="0" w:firstLineChars="0"/>
        <w:jc w:val="center"/>
        <w:outlineLvl w:val="0"/>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二、工业优惠政策</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13</w:t>
      </w:r>
      <w:r>
        <w:rPr>
          <w:rFonts w:hint="eastAsia" w:ascii="仿宋_GB2312" w:hAnsi="仿宋_GB2312" w:eastAsia="仿宋_GB2312" w:cs="仿宋_GB2312"/>
          <w:b/>
          <w:bCs/>
          <w:color w:val="auto"/>
          <w:sz w:val="32"/>
          <w:szCs w:val="32"/>
          <w:lang w:val="en-US" w:eastAsia="zh-CN"/>
        </w:rPr>
        <w:t>.制造业企业培优育强服务。（</w:t>
      </w: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）划型配额：</w:t>
      </w:r>
      <w:r>
        <w:rPr>
          <w:rFonts w:hint="eastAsia" w:ascii="仿宋_GB2312" w:hAnsi="仿宋_GB2312" w:eastAsia="仿宋_GB2312" w:cs="仿宋_GB2312"/>
          <w:b w:val="0"/>
          <w:bCs w:val="0"/>
          <w:color w:val="auto"/>
          <w:sz w:val="32"/>
          <w:szCs w:val="32"/>
          <w:lang w:val="en-US" w:eastAsia="zh-CN"/>
        </w:rPr>
        <w:t>①通用券划型匹配额度:平台根据企业划型标准，采用信息化手段对注册成功的企业进行分类定型，分档次对各型企业自动匹配年度用券额度。一般规模以上制造业企业年度配额为每家</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万元。自治区数字化车间企业、自治区两化融合管理体系贯标评定企业、在线诊断结果达到数字化转型成熟度</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档以上企业广西“专精特新”专板企业、创新型中小企业、上两个年度新增进入统计名录库的规模以上企业年度配额为每家</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万元。自治区制造业单项冠军、自治区专精特新中小企业、自治区智能工厂及以上企业、自治区创新示范企业、自治区质量管理标杆企业年度配额为每家</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 xml:space="preserve">万元。国家级制造业单项冠军、专精特新“小巨人”企业年度配额为每家 </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万元。②专项券使用对象的划型及配额根据每年服务券支持重点另行制定，以年度申报通知为准。</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）补贴标准：</w:t>
      </w:r>
      <w:r>
        <w:rPr>
          <w:rFonts w:hint="eastAsia" w:ascii="仿宋_GB2312" w:hAnsi="仿宋_GB2312" w:eastAsia="仿宋_GB2312" w:cs="仿宋_GB2312"/>
          <w:b w:val="0"/>
          <w:bCs w:val="0"/>
          <w:color w:val="auto"/>
          <w:sz w:val="32"/>
          <w:szCs w:val="32"/>
          <w:lang w:val="en-US" w:eastAsia="zh-CN"/>
        </w:rPr>
        <w:t>通用券补贴标准，以单个服务项目为补贴计算单位。每个诊断服务项目可使用的通用券补贴金额不超过合同金额的</w:t>
      </w:r>
      <w:r>
        <w:rPr>
          <w:rFonts w:hint="default" w:ascii="Times New Roman" w:hAnsi="Times New Roman" w:eastAsia="仿宋_GB2312" w:cs="Times New Roman"/>
          <w:b w:val="0"/>
          <w:bCs w:val="0"/>
          <w:color w:val="auto"/>
          <w:sz w:val="32"/>
          <w:szCs w:val="32"/>
          <w:lang w:val="en-US" w:eastAsia="zh-CN"/>
        </w:rPr>
        <w:t>80%</w:t>
      </w:r>
      <w:r>
        <w:rPr>
          <w:rFonts w:hint="eastAsia" w:ascii="仿宋_GB2312" w:hAnsi="仿宋_GB2312" w:eastAsia="仿宋_GB2312" w:cs="仿宋_GB2312"/>
          <w:b w:val="0"/>
          <w:bCs w:val="0"/>
          <w:color w:val="auto"/>
          <w:sz w:val="32"/>
          <w:szCs w:val="32"/>
          <w:lang w:val="en-US" w:eastAsia="zh-CN"/>
        </w:rPr>
        <w:t>，最高不超过</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万元。每个其他通用券服务项目可使用的通用券补贴金额不超过合同金额的</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,最高不超过</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万元。单个服务商在一个服务年度内结算的通用券补贴额原则上不超过</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万元。专项券补贴额标准以年度申报通知为准。</w:t>
      </w:r>
      <w:r>
        <w:rPr>
          <w:rFonts w:hint="eastAsia" w:ascii="仿宋_GB2312" w:hAnsi="仿宋_GB2312" w:eastAsia="仿宋_GB2312" w:cs="仿宋_GB2312"/>
          <w:b/>
          <w:bCs/>
          <w:color w:val="auto"/>
          <w:sz w:val="32"/>
          <w:szCs w:val="32"/>
          <w:lang w:val="en-US" w:eastAsia="zh-CN"/>
        </w:rPr>
        <w:t>《自治区工业和信息化厅 自治区财政厅关于印发广西制造业企业培优育强服务券管理办法（试行）的通知》（桂工信规范〔</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9</w:t>
      </w:r>
      <w:r>
        <w:rPr>
          <w:rFonts w:hint="eastAsia" w:ascii="仿宋_GB2312" w:hAnsi="仿宋_GB2312" w:eastAsia="仿宋_GB2312" w:cs="仿宋_GB2312"/>
          <w:b/>
          <w:bCs/>
          <w:color w:val="auto"/>
          <w:sz w:val="32"/>
          <w:szCs w:val="32"/>
          <w:lang w:val="en-US" w:eastAsia="zh-CN"/>
        </w:rPr>
        <w:t>）</w:t>
      </w:r>
    </w:p>
    <w:p>
      <w:pPr>
        <w:numPr>
          <w:ilvl w:val="0"/>
          <w:numId w:val="0"/>
        </w:numPr>
        <w:spacing w:beforeLines="0" w:afterLines="0" w:line="560" w:lineRule="exact"/>
        <w:ind w:firstLine="642" w:firstLineChars="200"/>
        <w:jc w:val="both"/>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14</w:t>
      </w:r>
      <w:r>
        <w:rPr>
          <w:rFonts w:hint="eastAsia" w:ascii="仿宋_GB2312" w:hAnsi="仿宋_GB2312" w:eastAsia="仿宋_GB2312" w:cs="仿宋_GB2312"/>
          <w:b/>
          <w:bCs/>
          <w:color w:val="auto"/>
          <w:sz w:val="32"/>
          <w:szCs w:val="32"/>
          <w:lang w:val="en-US" w:eastAsia="zh-CN"/>
        </w:rPr>
        <w:t>.工业企业季度补助。</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）加强节假日工业企业生产组织保障。鼓励企业在确保安全生产的前提下抢抓节假日连续生产，对</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日至</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日期间，日均用电量达到</w:t>
      </w:r>
      <w:r>
        <w:rPr>
          <w:rFonts w:hint="default" w:ascii="Times New Roman" w:hAnsi="Times New Roman" w:eastAsia="仿宋_GB2312" w:cs="Times New Roman"/>
          <w:b w:val="0"/>
          <w:bCs w:val="0"/>
          <w:color w:val="auto"/>
          <w:sz w:val="32"/>
          <w:szCs w:val="32"/>
          <w:lang w:val="en-US" w:eastAsia="zh-CN"/>
        </w:rPr>
        <w:t>2024</w:t>
      </w:r>
      <w:r>
        <w:rPr>
          <w:rFonts w:hint="eastAsia" w:ascii="仿宋_GB2312" w:hAnsi="仿宋_GB2312" w:eastAsia="仿宋_GB2312" w:cs="仿宋_GB2312"/>
          <w:b w:val="0"/>
          <w:bCs w:val="0"/>
          <w:color w:val="auto"/>
          <w:sz w:val="32"/>
          <w:szCs w:val="32"/>
          <w:lang w:val="en-US" w:eastAsia="zh-CN"/>
        </w:rPr>
        <w:t>年四季度日均用电量</w:t>
      </w:r>
      <w:r>
        <w:rPr>
          <w:rFonts w:hint="default" w:ascii="Times New Roman" w:hAnsi="Times New Roman" w:eastAsia="仿宋_GB2312" w:cs="Times New Roman"/>
          <w:b w:val="0"/>
          <w:bCs w:val="0"/>
          <w:color w:val="auto"/>
          <w:sz w:val="32"/>
          <w:szCs w:val="32"/>
          <w:lang w:val="en-US" w:eastAsia="zh-CN"/>
        </w:rPr>
        <w:t>90%</w:t>
      </w:r>
      <w:r>
        <w:rPr>
          <w:rFonts w:hint="eastAsia" w:ascii="仿宋_GB2312" w:hAnsi="仿宋_GB2312" w:eastAsia="仿宋_GB2312" w:cs="仿宋_GB2312"/>
          <w:b w:val="0"/>
          <w:bCs w:val="0"/>
          <w:color w:val="auto"/>
          <w:sz w:val="32"/>
          <w:szCs w:val="32"/>
          <w:lang w:val="en-US" w:eastAsia="zh-CN"/>
        </w:rPr>
        <w:t>及以上的工业企业，给予</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万元一次性奖补。实施春节期间企业增量用电奖补政策，对</w:t>
      </w:r>
      <w:r>
        <w:rPr>
          <w:rFonts w:hint="default" w:ascii="Times New Roman" w:hAnsi="Times New Roman" w:eastAsia="仿宋_GB2312" w:cs="Times New Roman"/>
          <w:b w:val="0"/>
          <w:bCs w:val="0"/>
          <w:color w:val="auto"/>
          <w:sz w:val="32"/>
          <w:szCs w:val="32"/>
          <w:lang w:val="en-US" w:eastAsia="zh-CN"/>
        </w:rPr>
        <w:t>2024</w:t>
      </w:r>
      <w:r>
        <w:rPr>
          <w:rFonts w:hint="eastAsia" w:ascii="仿宋_GB2312" w:hAnsi="仿宋_GB2312" w:eastAsia="仿宋_GB2312" w:cs="仿宋_GB2312"/>
          <w:b w:val="0"/>
          <w:bCs w:val="0"/>
          <w:color w:val="auto"/>
          <w:sz w:val="32"/>
          <w:szCs w:val="32"/>
          <w:lang w:val="en-US" w:eastAsia="zh-CN"/>
        </w:rPr>
        <w:t>年产值</w:t>
      </w:r>
      <w:r>
        <w:rPr>
          <w:rFonts w:hint="default" w:ascii="Times New Roman" w:hAnsi="Times New Roman" w:eastAsia="仿宋_GB2312" w:cs="Times New Roman"/>
          <w:b w:val="0"/>
          <w:bCs w:val="0"/>
          <w:color w:val="auto"/>
          <w:sz w:val="32"/>
          <w:szCs w:val="32"/>
          <w:lang w:val="en-US" w:eastAsia="zh-CN"/>
        </w:rPr>
        <w:t>2000</w:t>
      </w:r>
      <w:r>
        <w:rPr>
          <w:rFonts w:hint="eastAsia" w:ascii="仿宋_GB2312" w:hAnsi="仿宋_GB2312" w:eastAsia="仿宋_GB2312" w:cs="仿宋_GB2312"/>
          <w:b w:val="0"/>
          <w:bCs w:val="0"/>
          <w:color w:val="auto"/>
          <w:sz w:val="32"/>
          <w:szCs w:val="32"/>
          <w:lang w:val="en-US" w:eastAsia="zh-CN"/>
        </w:rPr>
        <w:t>万元及以上的工业企业（“两高”项目企业除外），给予春节期间增量用电奖补。（</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）鼓励企业稳生产促就业。对扩大生产的工业企业和软件信息技术服务业企业分台阶一次性给予</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万—</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万元奖补，用于支持企业增加用工、采购生产物料、降低物流成本和加强安全生产等。（</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）加快重点项目建设。开展重点项目前期审批攻坚行动、在建重点项目提速攻坚行动；对项目给予加快投资激励，按投资的一定比例给予资金补助，推动项目早开工、快建设、早投产。（</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）持续降低企业经营成本。继续实施阶段性工业企业增量用电奖补政策，对不在“两高”目录内且</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年一季度产值达</w:t>
      </w:r>
      <w:r>
        <w:rPr>
          <w:rFonts w:hint="default" w:ascii="Times New Roman" w:hAnsi="Times New Roman" w:eastAsia="仿宋_GB2312" w:cs="Times New Roman"/>
          <w:b w:val="0"/>
          <w:bCs w:val="0"/>
          <w:color w:val="auto"/>
          <w:sz w:val="32"/>
          <w:szCs w:val="32"/>
          <w:lang w:val="en-US" w:eastAsia="zh-CN"/>
        </w:rPr>
        <w:t>1000</w:t>
      </w:r>
      <w:r>
        <w:rPr>
          <w:rFonts w:hint="eastAsia" w:ascii="仿宋_GB2312" w:hAnsi="仿宋_GB2312" w:eastAsia="仿宋_GB2312" w:cs="仿宋_GB2312"/>
          <w:b w:val="0"/>
          <w:bCs w:val="0"/>
          <w:color w:val="auto"/>
          <w:sz w:val="32"/>
          <w:szCs w:val="32"/>
          <w:lang w:val="en-US" w:eastAsia="zh-CN"/>
        </w:rPr>
        <w:t>万元以上、同比增长</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以上的工业企业，给予一季度增量用电奖补。帮助企业降低用工成本，对</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年一季度产值达</w:t>
      </w:r>
      <w:r>
        <w:rPr>
          <w:rFonts w:hint="default" w:ascii="Times New Roman" w:hAnsi="Times New Roman" w:eastAsia="仿宋_GB2312" w:cs="Times New Roman"/>
          <w:b w:val="0"/>
          <w:bCs w:val="0"/>
          <w:color w:val="auto"/>
          <w:sz w:val="32"/>
          <w:szCs w:val="32"/>
          <w:lang w:val="en-US" w:eastAsia="zh-CN"/>
        </w:rPr>
        <w:t>2000</w:t>
      </w:r>
      <w:r>
        <w:rPr>
          <w:rFonts w:hint="eastAsia" w:ascii="仿宋_GB2312" w:hAnsi="仿宋_GB2312" w:eastAsia="仿宋_GB2312" w:cs="仿宋_GB2312"/>
          <w:b w:val="0"/>
          <w:bCs w:val="0"/>
          <w:color w:val="auto"/>
          <w:sz w:val="32"/>
          <w:szCs w:val="32"/>
          <w:lang w:val="en-US" w:eastAsia="zh-CN"/>
        </w:rPr>
        <w:t>万元及以上且社保缴纳人数同比增长的工业企业，给予增量用工奖补，最高不超过</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万元。（</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）加强市场开拓。鼓励企业开展新品发布、展示、推广和销售活动，对一季度举办新品发布会、产品订货会等活动或参加国内外展会活动的工业企业，在场地租赁、会场搭建等费用方面给予一定支持。（</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加强融资促进支持。建立企业、项目融资需求动态跟踪协调机制，采取“桂惠贷+基金+担保+服务”模式，为企业、项目协调解决融资问题。加快完善工业新兴产业融资担保基金、“园企振兴担”方案，建立聚焦重点、快捷高效、平衡互惠、风险共担的融资担保政策体系。</w:t>
      </w:r>
      <w:r>
        <w:rPr>
          <w:rFonts w:hint="eastAsia" w:ascii="仿宋_GB2312" w:hAnsi="仿宋_GB2312" w:eastAsia="仿宋_GB2312" w:cs="仿宋_GB2312"/>
          <w:b/>
          <w:bCs/>
          <w:color w:val="auto"/>
          <w:sz w:val="32"/>
          <w:szCs w:val="32"/>
          <w:lang w:val="en-US" w:eastAsia="zh-CN"/>
        </w:rPr>
        <w:t>《自治区工业和信息化厅自治区财政厅关于组织申报推动工业经济实现</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年一季度“开门红政策补助资金”的通知》(桂工信综合〔</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39</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4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.工业振兴专项资金。</w:t>
      </w:r>
      <w:r>
        <w:rPr>
          <w:rFonts w:hint="eastAsia" w:ascii="仿宋_GB2312" w:hAnsi="仿宋_GB2312" w:eastAsia="仿宋_GB2312" w:cs="仿宋_GB2312"/>
          <w:b w:val="0"/>
          <w:bCs w:val="0"/>
          <w:color w:val="auto"/>
          <w:sz w:val="32"/>
          <w:szCs w:val="32"/>
          <w:lang w:val="en-US" w:eastAsia="zh-CN"/>
        </w:rPr>
        <w:t>工业振兴专项资金主要通过无偿补助、贷款贴息、以奖代补、担保增信、资本金注入等方式予以支持。工业振兴专项资金应采用科学规范的分配办法，根据实际情况可采用项目分配法、因素分配法。资金采取因素分配法的，应制定具体实施文件，明确分配因素及各分配因素所占权重。工业振兴专项资金支持范围包括：（</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）工业经济稳增长。工业稳增长政策资金、设区市推动工业高质量发展成效激励资金等。（</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）项目增量提质。重大产业项目扶持资金、产业优化升级项目扶持资金、工业企业技术改造升级项目扶持资金、铝产业高质量发展项目扶持资金等。（</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）产业群链升级。先进制造业集群建设资金、推动特色产业集聚区建设资金、中小企业特色产业集群奖励等。（</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）产业育新提质。突破关键核心技术产业化项目扶持资金、新兴产业项目培育扶持资金、仿制药质量和疗效一致性评价奖补、国家技术创新示范企业和全国质量标杆奖励等。（</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）企业培优育强。广西制造业企业培优育强服务券、专精特新“小巨人”认定奖励资金等。（</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智改数转赋能。制造业数字化转型升级项目扶持资金、人工智能与实体经济深度融合应用示范试点资金、软件和信息技术服务业发展扶持资金、北斗规模应用示范城市奖励、中小企业数字化转型试点城市配套奖励资金等。（</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）绿色低碳转型。工业节能降碳技术改造奖励、绿色制造体系建设项目及工业节水项目奖励、工业用能设备更新改造项目扶持资金、工业资源和固废综合利用项目扶持资金等。</w:t>
      </w:r>
      <w:r>
        <w:rPr>
          <w:rFonts w:hint="eastAsia" w:ascii="仿宋_GB2312" w:hAnsi="仿宋_GB2312" w:eastAsia="仿宋_GB2312" w:cs="仿宋_GB2312"/>
          <w:b/>
          <w:bCs/>
          <w:color w:val="auto"/>
          <w:sz w:val="32"/>
          <w:szCs w:val="32"/>
          <w:lang w:val="en-US" w:eastAsia="zh-CN"/>
        </w:rPr>
        <w:t>《自治区工业和信息化厅自治区财政厅关于印发广西壮族自治区统筹支持工业振兴专项资金管理办法的通知》（桂工信规范〔</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13</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4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.自治区新型工业化领域资金。</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重大产业项目。支持符合自治区重点产业集群及关键产业链的产业布局和发展方向，对我区产业发展有明显牵引带动作用的重大产业项目，结合项目投资总量、年度投资增量，自治区本级财政通过投资补助或贷款贴息给予资金支持，单个项目补助资金最高不超过固定资产投资的</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，且最高不超过</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亿元。（</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产业优化升级项目。支持符合自治区重点产业集群及关键产业链的产业布局和发展方向，对优化产业布局、调整产业结构、做强产业链群具有积极作用的工业投资项目，结合项目投资总量、年度投资增量,自治区本级财政通过投资补助或贷款贴息给予资金支持，单个项目补助资金最高不超过固定资产投资的</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，且最高不超过</w:t>
      </w:r>
      <w:r>
        <w:rPr>
          <w:rFonts w:hint="default" w:ascii="Times New Roman" w:hAnsi="Times New Roman" w:eastAsia="仿宋_GB2312" w:cs="Times New Roman"/>
          <w:b w:val="0"/>
          <w:bCs w:val="0"/>
          <w:color w:val="auto"/>
          <w:sz w:val="32"/>
          <w:szCs w:val="32"/>
          <w:lang w:val="en-US" w:eastAsia="zh-CN"/>
        </w:rPr>
        <w:t>2000</w:t>
      </w:r>
      <w:r>
        <w:rPr>
          <w:rFonts w:hint="eastAsia" w:ascii="仿宋_GB2312" w:hAnsi="仿宋_GB2312" w:eastAsia="仿宋_GB2312" w:cs="仿宋_GB2312"/>
          <w:b w:val="0"/>
          <w:bCs w:val="0"/>
          <w:color w:val="auto"/>
          <w:sz w:val="32"/>
          <w:szCs w:val="32"/>
          <w:lang w:val="en-US" w:eastAsia="zh-CN"/>
        </w:rPr>
        <w:t>万元。为确保资金专款专用及时投入项目建设，切实提升财政资金的投入效益，</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自治区新型工业化领域资金（重大产业项目、产业优化升级项目）均采取事中（分段申请）方式：根据项目建设进度分两次申请，其中首次申报时，项目已实际完成的固定资产投资应不低于项目固定资产投资计划的</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，安排支持金额根据当次申请时项目完成的固定资产投资的比例确定，且不超过全部支持金额的</w:t>
      </w:r>
      <w:r>
        <w:rPr>
          <w:rFonts w:hint="default" w:ascii="Times New Roman" w:hAnsi="Times New Roman" w:eastAsia="仿宋_GB2312" w:cs="Times New Roman"/>
          <w:b w:val="0"/>
          <w:bCs w:val="0"/>
          <w:color w:val="auto"/>
          <w:sz w:val="32"/>
          <w:szCs w:val="32"/>
          <w:lang w:val="en-US" w:eastAsia="zh-CN"/>
        </w:rPr>
        <w:t>70%</w:t>
      </w:r>
      <w:r>
        <w:rPr>
          <w:rFonts w:hint="eastAsia" w:ascii="仿宋_GB2312" w:hAnsi="仿宋_GB2312" w:eastAsia="仿宋_GB2312" w:cs="仿宋_GB2312"/>
          <w:b w:val="0"/>
          <w:bCs w:val="0"/>
          <w:color w:val="auto"/>
          <w:sz w:val="32"/>
          <w:szCs w:val="32"/>
          <w:lang w:val="en-US" w:eastAsia="zh-CN"/>
        </w:rPr>
        <w:t>。首次申报通过并列入资金计划后，续报申请须在资金计划下达的</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内提出，且项目已全部实施完毕并通过竣工验收，安排剩余支持金额。项目固定资产投资实际完成情况根据专项审计报告确定，未竣工投产项目固定资产投资实际完成情况,可根据已投入项目建设的主要资金支出有效凭证汇总表和凭证或专项审计报告确定。</w:t>
      </w:r>
      <w:r>
        <w:rPr>
          <w:rFonts w:hint="eastAsia" w:ascii="仿宋_GB2312" w:hAnsi="仿宋_GB2312" w:eastAsia="仿宋_GB2312" w:cs="仿宋_GB2312"/>
          <w:b/>
          <w:bCs/>
          <w:color w:val="auto"/>
          <w:sz w:val="32"/>
          <w:szCs w:val="32"/>
          <w:lang w:val="en-US" w:eastAsia="zh-CN"/>
        </w:rPr>
        <w:t>《自治区工业和信息化厅 自治区财政厅关于组织申报</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年自治区新型工业化领域资金（重大产业</w:t>
      </w:r>
      <w:r>
        <w:rPr>
          <w:rFonts w:hint="eastAsia" w:ascii="仿宋_GB2312" w:hAnsi="仿宋_GB2312" w:eastAsia="仿宋_GB2312" w:cs="仿宋_GB2312"/>
          <w:b/>
          <w:bCs/>
          <w:color w:val="auto"/>
          <w:spacing w:val="-6"/>
          <w:sz w:val="32"/>
          <w:szCs w:val="32"/>
          <w:lang w:val="en-US" w:eastAsia="zh-CN"/>
        </w:rPr>
        <w:t>项目、产业优化升级项目）的通知》(桂工信投资〔</w:t>
      </w:r>
      <w:r>
        <w:rPr>
          <w:rFonts w:hint="default" w:ascii="Times New Roman" w:hAnsi="Times New Roman" w:eastAsia="仿宋_GB2312" w:cs="Times New Roman"/>
          <w:b/>
          <w:bCs/>
          <w:color w:val="auto"/>
          <w:spacing w:val="-6"/>
          <w:sz w:val="32"/>
          <w:szCs w:val="32"/>
          <w:lang w:val="en-US" w:eastAsia="zh-CN"/>
        </w:rPr>
        <w:t>2024</w:t>
      </w:r>
      <w:r>
        <w:rPr>
          <w:rFonts w:hint="eastAsia" w:ascii="仿宋_GB2312" w:hAnsi="仿宋_GB2312" w:eastAsia="仿宋_GB2312" w:cs="仿宋_GB2312"/>
          <w:b/>
          <w:bCs/>
          <w:color w:val="auto"/>
          <w:spacing w:val="-6"/>
          <w:sz w:val="32"/>
          <w:szCs w:val="32"/>
          <w:lang w:val="en-US" w:eastAsia="zh-CN"/>
        </w:rPr>
        <w:t>〕</w:t>
      </w:r>
      <w:r>
        <w:rPr>
          <w:rFonts w:hint="default" w:ascii="Times New Roman" w:hAnsi="Times New Roman" w:eastAsia="仿宋_GB2312" w:cs="Times New Roman"/>
          <w:b/>
          <w:bCs/>
          <w:color w:val="auto"/>
          <w:spacing w:val="-6"/>
          <w:sz w:val="32"/>
          <w:szCs w:val="32"/>
          <w:lang w:val="en-US" w:eastAsia="zh-CN"/>
        </w:rPr>
        <w:t>923</w:t>
      </w:r>
      <w:r>
        <w:rPr>
          <w:rFonts w:hint="eastAsia" w:ascii="仿宋_GB2312" w:hAnsi="仿宋_GB2312" w:eastAsia="仿宋_GB2312" w:cs="仿宋_GB2312"/>
          <w:b/>
          <w:bCs/>
          <w:color w:val="auto"/>
          <w:spacing w:val="-6"/>
          <w:sz w:val="32"/>
          <w:szCs w:val="32"/>
          <w:lang w:val="en-US" w:eastAsia="zh-CN"/>
        </w:rPr>
        <w:t>号)</w:t>
      </w:r>
    </w:p>
    <w:p>
      <w:pPr>
        <w:numPr>
          <w:ilvl w:val="0"/>
          <w:numId w:val="0"/>
        </w:numPr>
        <w:spacing w:beforeLines="0" w:afterLines="0" w:line="540" w:lineRule="exact"/>
        <w:ind w:leftChars="0" w:firstLine="642" w:firstLineChars="200"/>
        <w:jc w:val="both"/>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.招商引资市场化服务资金支持。</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）招商引资市场化服务资金支持条件:①成功引进制造业招商引资项目，且项目合同区外投资额</w:t>
      </w:r>
      <w:r>
        <w:rPr>
          <w:rFonts w:hint="default" w:ascii="Times New Roman" w:hAnsi="Times New Roman" w:eastAsia="仿宋_GB2312" w:cs="Times New Roman"/>
          <w:b w:val="0"/>
          <w:bCs w:val="0"/>
          <w:color w:val="auto"/>
          <w:sz w:val="32"/>
          <w:szCs w:val="32"/>
          <w:lang w:val="en-US" w:eastAsia="zh-CN"/>
        </w:rPr>
        <w:t>5000</w:t>
      </w:r>
      <w:r>
        <w:rPr>
          <w:rFonts w:hint="eastAsia" w:ascii="仿宋_GB2312" w:hAnsi="仿宋_GB2312" w:eastAsia="仿宋_GB2312" w:cs="仿宋_GB2312"/>
          <w:b w:val="0"/>
          <w:bCs w:val="0"/>
          <w:color w:val="auto"/>
          <w:sz w:val="32"/>
          <w:szCs w:val="32"/>
          <w:lang w:val="en-US" w:eastAsia="zh-CN"/>
        </w:rPr>
        <w:t>万元人民币及以上的招商引资市场化服务机构。②同一个项目只认定一个招商引资市场化服务机构。③项目投资者不能以招商引资市场化服务机构身份就自身投资的项目申请招商引资市场化服务资金。（</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）招商引资市场化服务资金支持标准:对成功引进制造业项目的招商引资市场化服务机构，按经审核认定的招商引资项目实际投资完成额（形成固定资产）的</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‰给予招商引资市场化服务资金，单个项目的招商引资市场化服务资金最高不超过</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万元人民币。申领招商引资市场化服务资金时点及币种规定:①对成功引进项目的招商引资市场化服务机构，分阶段拨付招商引资市场化服务资金。第一阶段:项目实际开工后一次性给予招商引资市场化服务机构</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万元。第二阶段:项目实际投资完成额在</w:t>
      </w:r>
      <w:r>
        <w:rPr>
          <w:rFonts w:hint="default" w:ascii="Times New Roman" w:hAnsi="Times New Roman" w:eastAsia="仿宋_GB2312" w:cs="Times New Roman"/>
          <w:b w:val="0"/>
          <w:bCs w:val="0"/>
          <w:color w:val="auto"/>
          <w:sz w:val="32"/>
          <w:szCs w:val="32"/>
          <w:lang w:val="en-US" w:eastAsia="zh-CN"/>
        </w:rPr>
        <w:t>5000</w:t>
      </w:r>
      <w:r>
        <w:rPr>
          <w:rFonts w:hint="eastAsia" w:ascii="仿宋_GB2312" w:hAnsi="仿宋_GB2312" w:eastAsia="仿宋_GB2312" w:cs="仿宋_GB2312"/>
          <w:b w:val="0"/>
          <w:bCs w:val="0"/>
          <w:color w:val="auto"/>
          <w:sz w:val="32"/>
          <w:szCs w:val="32"/>
          <w:lang w:val="en-US" w:eastAsia="zh-CN"/>
        </w:rPr>
        <w:t>万元人民币以上，按项目投资合同（协议）签订之日起至规定的投资期内，累计形成的固定资产计算，在项目实际开工后</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年内的任一年度，招商引资市场化服务机构按程序一次性办理招商引资市场化服务资金申领手续。超过</w:t>
      </w:r>
      <w:r>
        <w:rPr>
          <w:rFonts w:hint="eastAsia" w:ascii="仿宋_GB2312" w:hAnsi="仿宋_GB2312" w:eastAsia="仿宋_GB2312" w:cs="仿宋_GB2312"/>
          <w:b w:val="0"/>
          <w:bCs w:val="0"/>
          <w:color w:val="auto"/>
          <w:spacing w:val="-6"/>
          <w:sz w:val="32"/>
          <w:szCs w:val="32"/>
          <w:lang w:val="en-US" w:eastAsia="zh-CN"/>
        </w:rPr>
        <w:t>投资合同（协议）约定投资期的实际投资完成额不计入招商引资市场化服务资金。②招商引资市场化服务资金以人民币支付。如外来投资资金为可兑换外币，则按外币结汇水单的汇率折为人民币计付。</w:t>
      </w:r>
    </w:p>
    <w:p>
      <w:pPr>
        <w:numPr>
          <w:ilvl w:val="0"/>
          <w:numId w:val="0"/>
        </w:numPr>
        <w:spacing w:beforeLines="0" w:afterLines="0" w:line="540" w:lineRule="exact"/>
        <w:ind w:leftChars="0" w:firstLine="642"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《自治区财政厅 自治区园区办关于印发广西招商引资市场化服务资金管理办法的通知》（园区办发〔</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55</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4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8</w:t>
      </w:r>
      <w:r>
        <w:rPr>
          <w:rFonts w:hint="eastAsia" w:ascii="仿宋_GB2312" w:hAnsi="仿宋_GB2312" w:eastAsia="仿宋_GB2312" w:cs="仿宋_GB2312"/>
          <w:b/>
          <w:bCs/>
          <w:color w:val="auto"/>
          <w:sz w:val="32"/>
          <w:szCs w:val="32"/>
          <w:lang w:val="en-US" w:eastAsia="zh-CN"/>
        </w:rPr>
        <w:t>.工业用地提容增效。</w:t>
      </w:r>
      <w:r>
        <w:rPr>
          <w:rFonts w:hint="eastAsia" w:ascii="仿宋_GB2312" w:hAnsi="仿宋_GB2312" w:eastAsia="仿宋_GB2312" w:cs="仿宋_GB2312"/>
          <w:b w:val="0"/>
          <w:bCs w:val="0"/>
          <w:color w:val="auto"/>
          <w:sz w:val="32"/>
          <w:szCs w:val="32"/>
          <w:lang w:val="en-US" w:eastAsia="zh-CN"/>
        </w:rPr>
        <w:t>鼓励工业项目利用地下空间建设物流仓储、停车场以及生活配套设施。在符合国土空间规划、不改变原用途的前提下，工业项目在原工业用地范围内新建、改建、扩建，且建筑系数、行政办公及生活服务设施用地所占比重等指标符合《广西工业项目建设用地控制指标》的，其提高容积率、增加建筑面积部分不再增收土地出让金。</w:t>
      </w:r>
      <w:r>
        <w:rPr>
          <w:rFonts w:hint="eastAsia" w:ascii="仿宋_GB2312" w:hAnsi="仿宋_GB2312" w:eastAsia="仿宋_GB2312" w:cs="仿宋_GB2312"/>
          <w:b/>
          <w:bCs/>
          <w:color w:val="auto"/>
          <w:sz w:val="32"/>
          <w:szCs w:val="32"/>
          <w:lang w:val="en-US" w:eastAsia="zh-CN"/>
        </w:rPr>
        <w:t>《玉林市人民政府办公室关于印发玉林市提高园区土地节约集约利用效率实施方案的通知》（玉政办规〔</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4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19</w:t>
      </w:r>
      <w:r>
        <w:rPr>
          <w:rFonts w:hint="eastAsia" w:ascii="仿宋_GB2312" w:hAnsi="仿宋_GB2312" w:eastAsia="仿宋_GB2312" w:cs="仿宋_GB2312"/>
          <w:b/>
          <w:bCs/>
          <w:color w:val="auto"/>
          <w:sz w:val="32"/>
          <w:szCs w:val="32"/>
          <w:lang w:val="en-US" w:eastAsia="zh-CN"/>
        </w:rPr>
        <w:t>.工业用地弹性年期出让。</w:t>
      </w:r>
      <w:r>
        <w:rPr>
          <w:rFonts w:hint="eastAsia" w:ascii="仿宋_GB2312" w:hAnsi="仿宋_GB2312" w:eastAsia="仿宋_GB2312" w:cs="仿宋_GB2312"/>
          <w:b w:val="0"/>
          <w:bCs w:val="0"/>
          <w:color w:val="auto"/>
          <w:sz w:val="32"/>
          <w:szCs w:val="32"/>
          <w:lang w:val="en-US" w:eastAsia="zh-CN"/>
        </w:rPr>
        <w:t>推行弹性年限出让。扩大工业用地弹性年期出让范围，市、县（市、区）和园区可结合工业用地类别、产业政策、产业生命周期等情况合理确定土地出让年限，工业用地弹性出让年限不得超过国家法定最高年限</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年。弹性出让土地到期后，符合法定及有偿使用约定续期条件的，国有建设用地使用权人申请续期，应予以批准。</w:t>
      </w:r>
      <w:r>
        <w:rPr>
          <w:rFonts w:hint="eastAsia" w:ascii="仿宋_GB2312" w:hAnsi="仿宋_GB2312" w:eastAsia="仿宋_GB2312" w:cs="仿宋_GB2312"/>
          <w:b/>
          <w:bCs/>
          <w:color w:val="auto"/>
          <w:sz w:val="32"/>
          <w:szCs w:val="32"/>
          <w:lang w:val="en-US" w:eastAsia="zh-CN"/>
        </w:rPr>
        <w:t>《玉林市人民政府办公室关于印发玉林市提高园区土地节约集约利用效率实施方案的通知》（玉政办规〔</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号）</w:t>
      </w:r>
    </w:p>
    <w:p>
      <w:pPr>
        <w:numPr>
          <w:ilvl w:val="-1"/>
          <w:numId w:val="0"/>
        </w:numPr>
        <w:spacing w:beforeLines="0" w:afterLines="0" w:line="560" w:lineRule="exact"/>
        <w:ind w:left="418" w:leftChars="0" w:hanging="418" w:hangingChars="95"/>
        <w:jc w:val="center"/>
        <w:outlineLvl w:val="0"/>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三、服务业优惠政策</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p>
    <w:p>
      <w:pPr>
        <w:numPr>
          <w:ilvl w:val="0"/>
          <w:numId w:val="0"/>
        </w:numPr>
        <w:spacing w:beforeLines="0" w:afterLines="0" w:line="560" w:lineRule="exact"/>
        <w:ind w:firstLine="642" w:firstLineChars="200"/>
        <w:jc w:val="both"/>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0</w:t>
      </w:r>
      <w:r>
        <w:rPr>
          <w:rFonts w:hint="eastAsia" w:ascii="仿宋_GB2312" w:hAnsi="仿宋_GB2312" w:eastAsia="仿宋_GB2312" w:cs="仿宋_GB2312"/>
          <w:b/>
          <w:bCs/>
          <w:color w:val="auto"/>
          <w:sz w:val="32"/>
          <w:szCs w:val="32"/>
          <w:lang w:val="en-US" w:eastAsia="zh-CN"/>
        </w:rPr>
        <w:t>.养老、托育、家政等社区家庭服务业税费优惠。</w:t>
      </w:r>
      <w:r>
        <w:rPr>
          <w:rFonts w:hint="eastAsia" w:ascii="仿宋_GB2312" w:hAnsi="仿宋_GB2312" w:eastAsia="仿宋_GB2312" w:cs="仿宋_GB2312"/>
          <w:b w:val="0"/>
          <w:bCs w:val="0"/>
          <w:color w:val="auto"/>
          <w:sz w:val="32"/>
          <w:szCs w:val="32"/>
          <w:lang w:val="en-US" w:eastAsia="zh-CN"/>
        </w:rPr>
        <w:t>为社区提供养老、托育、家政等服务的机构，按照以下规定享受税费优惠政策：（</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）提供社区养老、托育、家政服务取得的收入，免征增值税。（</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）提供社区养老、托育、家政服务取得的收入，在计算应纳税所得额时，减按</w:t>
      </w:r>
      <w:r>
        <w:rPr>
          <w:rFonts w:hint="default" w:ascii="Times New Roman" w:hAnsi="Times New Roman" w:eastAsia="仿宋_GB2312" w:cs="Times New Roman"/>
          <w:b w:val="0"/>
          <w:bCs w:val="0"/>
          <w:color w:val="auto"/>
          <w:sz w:val="32"/>
          <w:szCs w:val="32"/>
          <w:lang w:val="en-US" w:eastAsia="zh-CN"/>
        </w:rPr>
        <w:t>90%</w:t>
      </w:r>
      <w:r>
        <w:rPr>
          <w:rFonts w:hint="eastAsia" w:ascii="仿宋_GB2312" w:hAnsi="仿宋_GB2312" w:eastAsia="仿宋_GB2312" w:cs="仿宋_GB2312"/>
          <w:b w:val="0"/>
          <w:bCs w:val="0"/>
          <w:color w:val="auto"/>
          <w:sz w:val="32"/>
          <w:szCs w:val="32"/>
          <w:lang w:val="en-US" w:eastAsia="zh-CN"/>
        </w:rPr>
        <w:t>计入收入总额。（</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）承受房屋、土地用于提供社区养老、托育、家政服务的，免征契税。（</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为社区提供养老、托育、家政等服务的机构自有或其通过承租、无偿使用等方式取得并用于提供社区养老、托育、家政服务的房产、土地，免征房产税、城镇土地使用税。</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《财政部 税务总局 发展改革委 民政部 商务部 卫生健康委关于养老、托育、家政等社区家庭服务业税费优惠政策的公告》（财政部 税务总局 发展改革委 民政部 商务部 卫生健康委公告</w:t>
      </w:r>
      <w:r>
        <w:rPr>
          <w:rFonts w:hint="default" w:ascii="Times New Roman" w:hAnsi="Times New Roman" w:eastAsia="仿宋_GB2312" w:cs="Times New Roman"/>
          <w:b/>
          <w:bCs/>
          <w:color w:val="auto"/>
          <w:sz w:val="32"/>
          <w:szCs w:val="32"/>
          <w:lang w:val="en-US" w:eastAsia="zh-CN"/>
        </w:rPr>
        <w:t>2019</w:t>
      </w:r>
      <w:r>
        <w:rPr>
          <w:rFonts w:hint="eastAsia" w:ascii="仿宋_GB2312" w:hAnsi="仿宋_GB2312" w:eastAsia="仿宋_GB2312" w:cs="仿宋_GB2312"/>
          <w:b/>
          <w:bCs/>
          <w:color w:val="auto"/>
          <w:sz w:val="32"/>
          <w:szCs w:val="32"/>
          <w:lang w:val="en-US" w:eastAsia="zh-CN"/>
        </w:rPr>
        <w:t>年第</w:t>
      </w:r>
      <w:r>
        <w:rPr>
          <w:rFonts w:hint="default" w:ascii="Times New Roman" w:hAnsi="Times New Roman" w:eastAsia="仿宋_GB2312" w:cs="Times New Roman"/>
          <w:b/>
          <w:bCs/>
          <w:color w:val="auto"/>
          <w:sz w:val="32"/>
          <w:szCs w:val="32"/>
          <w:lang w:val="en-US" w:eastAsia="zh-CN"/>
        </w:rPr>
        <w:t>76</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.养老服务补贴。</w:t>
      </w:r>
      <w:r>
        <w:rPr>
          <w:rFonts w:hint="eastAsia" w:ascii="仿宋_GB2312" w:hAnsi="仿宋_GB2312" w:eastAsia="仿宋_GB2312" w:cs="仿宋_GB2312"/>
          <w:b w:val="0"/>
          <w:bCs w:val="0"/>
          <w:color w:val="auto"/>
          <w:sz w:val="32"/>
          <w:szCs w:val="32"/>
          <w:lang w:val="en-US" w:eastAsia="zh-CN"/>
        </w:rPr>
        <w:t>养老服务机构用水、用电、用气，按照居民生活类价格政策执行;办理和使用电话、邮政、广播、电视、宽带互联网等业务，享受国家和自治区有关减免收费优惠。</w:t>
      </w:r>
      <w:r>
        <w:rPr>
          <w:rFonts w:hint="eastAsia" w:ascii="仿宋_GB2312" w:hAnsi="仿宋_GB2312" w:eastAsia="仿宋_GB2312" w:cs="仿宋_GB2312"/>
          <w:b/>
          <w:bCs/>
          <w:color w:val="auto"/>
          <w:sz w:val="32"/>
          <w:szCs w:val="32"/>
          <w:lang w:val="en-US" w:eastAsia="zh-CN"/>
        </w:rPr>
        <w:t>《广西壮族自治区养老服务条例》</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.民办养老机构建设补贴。</w:t>
      </w:r>
      <w:r>
        <w:rPr>
          <w:rFonts w:hint="eastAsia" w:ascii="仿宋_GB2312" w:hAnsi="仿宋_GB2312" w:eastAsia="仿宋_GB2312" w:cs="仿宋_GB2312"/>
          <w:b w:val="0"/>
          <w:bCs w:val="0"/>
          <w:color w:val="auto"/>
          <w:sz w:val="32"/>
          <w:szCs w:val="32"/>
          <w:lang w:val="en-US" w:eastAsia="zh-CN"/>
        </w:rPr>
        <w:t>根据床位类型不同，每张床位补贴</w:t>
      </w:r>
      <w:r>
        <w:rPr>
          <w:rFonts w:hint="default" w:ascii="Times New Roman" w:hAnsi="Times New Roman" w:eastAsia="仿宋_GB2312" w:cs="Times New Roman"/>
          <w:b w:val="0"/>
          <w:bCs w:val="0"/>
          <w:color w:val="auto"/>
          <w:sz w:val="32"/>
          <w:szCs w:val="32"/>
          <w:lang w:val="en-US" w:eastAsia="zh-CN"/>
        </w:rPr>
        <w:t>3000</w:t>
      </w:r>
      <w:r>
        <w:rPr>
          <w:rFonts w:hint="eastAsia" w:ascii="仿宋_GB2312" w:hAnsi="仿宋_GB2312" w:eastAsia="仿宋_GB2312" w:cs="仿宋_GB2312"/>
          <w:b w:val="0"/>
          <w:bCs w:val="0"/>
          <w:color w:val="auto"/>
          <w:sz w:val="32"/>
          <w:szCs w:val="32"/>
          <w:lang w:val="en-US" w:eastAsia="zh-CN"/>
        </w:rPr>
        <w:t>至</w:t>
      </w:r>
      <w:r>
        <w:rPr>
          <w:rFonts w:hint="default" w:ascii="Times New Roman" w:hAnsi="Times New Roman" w:eastAsia="仿宋_GB2312" w:cs="Times New Roman"/>
          <w:b w:val="0"/>
          <w:bCs w:val="0"/>
          <w:color w:val="auto"/>
          <w:sz w:val="32"/>
          <w:szCs w:val="32"/>
          <w:lang w:val="en-US" w:eastAsia="zh-CN"/>
        </w:rPr>
        <w:t>5000</w:t>
      </w:r>
      <w:r>
        <w:rPr>
          <w:rFonts w:hint="eastAsia" w:ascii="仿宋_GB2312" w:hAnsi="仿宋_GB2312" w:eastAsia="仿宋_GB2312" w:cs="仿宋_GB2312"/>
          <w:b w:val="0"/>
          <w:bCs w:val="0"/>
          <w:color w:val="auto"/>
          <w:sz w:val="32"/>
          <w:szCs w:val="32"/>
          <w:lang w:val="en-US" w:eastAsia="zh-CN"/>
        </w:rPr>
        <w:t>元不等。民办养老机构运营补贴：按老年人能力评估结果结合养老机构等级，每人每月</w:t>
      </w:r>
      <w:r>
        <w:rPr>
          <w:rFonts w:hint="default" w:ascii="Times New Roman" w:hAnsi="Times New Roman" w:eastAsia="仿宋_GB2312" w:cs="Times New Roman"/>
          <w:b w:val="0"/>
          <w:bCs w:val="0"/>
          <w:color w:val="auto"/>
          <w:sz w:val="32"/>
          <w:szCs w:val="32"/>
          <w:lang w:val="en-US" w:eastAsia="zh-CN"/>
        </w:rPr>
        <w:t>60</w:t>
      </w:r>
      <w:r>
        <w:rPr>
          <w:rFonts w:hint="eastAsia" w:ascii="仿宋_GB2312" w:hAnsi="仿宋_GB2312" w:eastAsia="仿宋_GB2312" w:cs="仿宋_GB2312"/>
          <w:b w:val="0"/>
          <w:bCs w:val="0"/>
          <w:color w:val="auto"/>
          <w:sz w:val="32"/>
          <w:szCs w:val="32"/>
          <w:lang w:val="en-US" w:eastAsia="zh-CN"/>
        </w:rPr>
        <w:t>至</w:t>
      </w:r>
      <w:r>
        <w:rPr>
          <w:rFonts w:hint="default" w:ascii="Times New Roman" w:hAnsi="Times New Roman" w:eastAsia="仿宋_GB2312" w:cs="Times New Roman"/>
          <w:b w:val="0"/>
          <w:bCs w:val="0"/>
          <w:color w:val="auto"/>
          <w:sz w:val="32"/>
          <w:szCs w:val="32"/>
          <w:lang w:val="en-US" w:eastAsia="zh-CN"/>
        </w:rPr>
        <w:t>190</w:t>
      </w:r>
      <w:r>
        <w:rPr>
          <w:rFonts w:hint="eastAsia" w:ascii="仿宋_GB2312" w:hAnsi="仿宋_GB2312" w:eastAsia="仿宋_GB2312" w:cs="仿宋_GB2312"/>
          <w:b w:val="0"/>
          <w:bCs w:val="0"/>
          <w:color w:val="auto"/>
          <w:sz w:val="32"/>
          <w:szCs w:val="32"/>
          <w:lang w:val="en-US" w:eastAsia="zh-CN"/>
        </w:rPr>
        <w:t>元。养老机构从业人员岗位津贴：符合条件的养老护理员每月可获得</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至</w:t>
      </w:r>
      <w:r>
        <w:rPr>
          <w:rFonts w:hint="default" w:ascii="Times New Roman" w:hAnsi="Times New Roman" w:eastAsia="仿宋_GB2312" w:cs="Times New Roman"/>
          <w:b w:val="0"/>
          <w:bCs w:val="0"/>
          <w:color w:val="auto"/>
          <w:sz w:val="32"/>
          <w:szCs w:val="32"/>
          <w:lang w:val="en-US" w:eastAsia="zh-CN"/>
        </w:rPr>
        <w:t>400</w:t>
      </w:r>
      <w:r>
        <w:rPr>
          <w:rFonts w:hint="eastAsia" w:ascii="仿宋_GB2312" w:hAnsi="仿宋_GB2312" w:eastAsia="仿宋_GB2312" w:cs="仿宋_GB2312"/>
          <w:b w:val="0"/>
          <w:bCs w:val="0"/>
          <w:color w:val="auto"/>
          <w:sz w:val="32"/>
          <w:szCs w:val="32"/>
          <w:lang w:val="en-US" w:eastAsia="zh-CN"/>
        </w:rPr>
        <w:t>元补贴。</w:t>
      </w:r>
      <w:r>
        <w:rPr>
          <w:rFonts w:hint="eastAsia" w:ascii="仿宋_GB2312" w:hAnsi="仿宋_GB2312" w:eastAsia="仿宋_GB2312" w:cs="仿宋_GB2312"/>
          <w:b/>
          <w:bCs/>
          <w:color w:val="auto"/>
          <w:sz w:val="32"/>
          <w:szCs w:val="32"/>
          <w:lang w:val="en-US" w:eastAsia="zh-CN"/>
        </w:rPr>
        <w:t>《广西壮族自治区养老服务补贴管理办法》（试行）桂民规〔</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 xml:space="preserve"> 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.出让金分期缴纳。</w:t>
      </w:r>
      <w:r>
        <w:rPr>
          <w:rFonts w:hint="eastAsia" w:ascii="仿宋_GB2312" w:hAnsi="仿宋_GB2312" w:eastAsia="仿宋_GB2312" w:cs="仿宋_GB2312"/>
          <w:b w:val="0"/>
          <w:bCs w:val="0"/>
          <w:color w:val="auto"/>
          <w:sz w:val="32"/>
          <w:szCs w:val="32"/>
          <w:lang w:val="en-US" w:eastAsia="zh-CN"/>
        </w:rPr>
        <w:t>规范土地出让收入分期缴纳行为。市县国土资源管理部门与土地受让人在土地出让合同中依法约定的分期缴纳全部土地出让价款的期限原则上不超过一年。经当地土地出让协调决策机构集体认定，特殊项目可以约定在两年内全部缴清。首次缴纳比例不得低于全部土地出让价款的</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《财政部、国土资源部、央行、监察部、审计署日前联合下发关于进一步加强土地出让收支管理的通知》（财综〔</w:t>
      </w:r>
      <w:r>
        <w:rPr>
          <w:rFonts w:hint="default" w:ascii="Times New Roman" w:hAnsi="Times New Roman" w:eastAsia="仿宋_GB2312" w:cs="Times New Roman"/>
          <w:b/>
          <w:bCs/>
          <w:color w:val="auto"/>
          <w:sz w:val="32"/>
          <w:szCs w:val="32"/>
          <w:lang w:val="en-US" w:eastAsia="zh-CN"/>
        </w:rPr>
        <w:t>2009</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74</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.农村客运、出租车油价补贴。</w:t>
      </w:r>
      <w:r>
        <w:rPr>
          <w:rFonts w:hint="eastAsia" w:ascii="仿宋_GB2312" w:hAnsi="仿宋_GB2312" w:eastAsia="仿宋_GB2312" w:cs="仿宋_GB2312"/>
          <w:b w:val="0"/>
          <w:bCs w:val="0"/>
          <w:color w:val="auto"/>
          <w:sz w:val="32"/>
          <w:szCs w:val="32"/>
          <w:lang w:val="en-US" w:eastAsia="zh-CN"/>
        </w:rPr>
        <w:t>“十四五”期间各省农村客运补贴资金、城市交通发展奖励资金年度补贴基数根据“十三五”时期农村客运运营、公共服务领域车辆电动化推广考核情况确定。</w:t>
      </w:r>
      <w:r>
        <w:rPr>
          <w:rFonts w:hint="eastAsia" w:ascii="仿宋_GB2312" w:hAnsi="仿宋_GB2312" w:eastAsia="仿宋_GB2312" w:cs="仿宋_GB2312"/>
          <w:b/>
          <w:bCs/>
          <w:color w:val="auto"/>
          <w:sz w:val="32"/>
          <w:szCs w:val="32"/>
          <w:lang w:val="en-US" w:eastAsia="zh-CN"/>
        </w:rPr>
        <w:t>《关于调整农村客运、出租车油价补贴政策的通知》（财建〔</w:t>
      </w:r>
      <w:r>
        <w:rPr>
          <w:rFonts w:hint="default" w:ascii="Times New Roman" w:hAnsi="Times New Roman" w:eastAsia="仿宋_GB2312" w:cs="Times New Roman"/>
          <w:b/>
          <w:bCs/>
          <w:color w:val="auto"/>
          <w:sz w:val="32"/>
          <w:szCs w:val="32"/>
          <w:lang w:val="en-US" w:eastAsia="zh-CN"/>
        </w:rPr>
        <w:t>2022</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.老旧营运船舶报废更新补贴</w:t>
      </w:r>
      <w:r>
        <w:rPr>
          <w:rFonts w:hint="eastAsia" w:ascii="仿宋_GB2312" w:hAnsi="仿宋_GB2312" w:eastAsia="仿宋_GB2312" w:cs="仿宋_GB2312"/>
          <w:b w:val="0"/>
          <w:bCs w:val="0"/>
          <w:color w:val="auto"/>
          <w:sz w:val="32"/>
          <w:szCs w:val="32"/>
          <w:lang w:val="en-US" w:eastAsia="zh-CN"/>
        </w:rPr>
        <w:t>。对中华人民共和国境内的中国籍老旧营运船舶报废更新，按照本细则规定的标准给予资金补贴。具体补贴实施工作安排以当年通知为准。</w:t>
      </w:r>
      <w:r>
        <w:rPr>
          <w:rFonts w:hint="eastAsia" w:ascii="仿宋_GB2312" w:hAnsi="仿宋_GB2312" w:eastAsia="仿宋_GB2312" w:cs="仿宋_GB2312"/>
          <w:b/>
          <w:bCs/>
          <w:color w:val="auto"/>
          <w:sz w:val="32"/>
          <w:szCs w:val="32"/>
          <w:lang w:val="en-US" w:eastAsia="zh-CN"/>
        </w:rPr>
        <w:t>《交通运输部 国家发展改革委关于印发交通运输老旧营运船舶报废更新补贴实施细则的通知》（交规划发〔</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95</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.高速公路实施差异化收费。</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）分支付方式差异化收费</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继续对所有使用</w:t>
      </w:r>
      <w:r>
        <w:rPr>
          <w:rFonts w:hint="default" w:ascii="Times New Roman" w:hAnsi="Times New Roman" w:eastAsia="仿宋_GB2312" w:cs="Times New Roman"/>
          <w:b w:val="0"/>
          <w:bCs w:val="0"/>
          <w:color w:val="auto"/>
          <w:sz w:val="32"/>
          <w:szCs w:val="32"/>
          <w:lang w:val="en-US" w:eastAsia="zh-CN"/>
        </w:rPr>
        <w:t>ETC</w:t>
      </w:r>
      <w:r>
        <w:rPr>
          <w:rFonts w:hint="eastAsia" w:ascii="仿宋_GB2312" w:hAnsi="仿宋_GB2312" w:eastAsia="仿宋_GB2312" w:cs="仿宋_GB2312"/>
          <w:b w:val="0"/>
          <w:bCs w:val="0"/>
          <w:color w:val="auto"/>
          <w:sz w:val="32"/>
          <w:szCs w:val="32"/>
          <w:lang w:val="en-US" w:eastAsia="zh-CN"/>
        </w:rPr>
        <w:t>支付的车辆给予车辆通行费</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折优惠(与其他使用</w:t>
      </w:r>
      <w:r>
        <w:rPr>
          <w:rFonts w:hint="default" w:ascii="Times New Roman" w:hAnsi="Times New Roman" w:eastAsia="仿宋_GB2312" w:cs="Times New Roman"/>
          <w:b w:val="0"/>
          <w:bCs w:val="0"/>
          <w:color w:val="auto"/>
          <w:sz w:val="32"/>
          <w:szCs w:val="32"/>
          <w:lang w:val="en-US" w:eastAsia="zh-CN"/>
        </w:rPr>
        <w:t>ETC</w:t>
      </w:r>
      <w:r>
        <w:rPr>
          <w:rFonts w:hint="eastAsia" w:ascii="仿宋_GB2312" w:hAnsi="仿宋_GB2312" w:eastAsia="仿宋_GB2312" w:cs="仿宋_GB2312"/>
          <w:b w:val="0"/>
          <w:bCs w:val="0"/>
          <w:color w:val="auto"/>
          <w:sz w:val="32"/>
          <w:szCs w:val="32"/>
          <w:lang w:val="en-US" w:eastAsia="zh-CN"/>
        </w:rPr>
        <w:t>支付的差异化收费通行费优惠不叠加)。</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）分出入口差异化收费</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继续实施自驾车通行费优惠，引导车辆高效使用高速公“引车上路”目标。每周五</w:t>
      </w:r>
      <w:r>
        <w:rPr>
          <w:rFonts w:hint="default" w:ascii="Times New Roman" w:hAnsi="Times New Roman" w:eastAsia="仿宋_GB2312" w:cs="Times New Roman"/>
          <w:b w:val="0"/>
          <w:bCs w:val="0"/>
          <w:color w:val="auto"/>
          <w:sz w:val="32"/>
          <w:szCs w:val="32"/>
          <w:lang w:val="en-US" w:eastAsia="zh-CN"/>
        </w:rPr>
        <w:t>00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00</w:t>
      </w:r>
      <w:r>
        <w:rPr>
          <w:rFonts w:hint="eastAsia" w:ascii="仿宋_GB2312" w:hAnsi="仿宋_GB2312" w:eastAsia="仿宋_GB2312" w:cs="仿宋_GB2312"/>
          <w:b w:val="0"/>
          <w:bCs w:val="0"/>
          <w:color w:val="auto"/>
          <w:sz w:val="32"/>
          <w:szCs w:val="32"/>
          <w:lang w:val="en-US" w:eastAsia="zh-CN"/>
        </w:rPr>
        <w:t>至周日路，实现“引客入桂”</w:t>
      </w:r>
      <w:r>
        <w:rPr>
          <w:rFonts w:hint="default" w:ascii="Times New Roman" w:hAnsi="Times New Roman" w:eastAsia="仿宋_GB2312" w:cs="Times New Roman"/>
          <w:b w:val="0"/>
          <w:bCs w:val="0"/>
          <w:color w:val="auto"/>
          <w:sz w:val="32"/>
          <w:szCs w:val="32"/>
          <w:lang w:val="en-US" w:eastAsia="zh-CN"/>
        </w:rPr>
        <w:t>24</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00</w:t>
      </w:r>
      <w:r>
        <w:rPr>
          <w:rFonts w:hint="eastAsia" w:ascii="仿宋_GB2312" w:hAnsi="仿宋_GB2312" w:eastAsia="仿宋_GB2312" w:cs="仿宋_GB2312"/>
          <w:b w:val="0"/>
          <w:bCs w:val="0"/>
          <w:color w:val="auto"/>
          <w:sz w:val="32"/>
          <w:szCs w:val="32"/>
          <w:lang w:val="en-US" w:eastAsia="zh-CN"/>
        </w:rPr>
        <w:t>(假期调休除外)，</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条试点高速公路(靖西至龙公路、崇左至水口高速公路、巴马一凭巴马一凭祥公路巴马至田东段、祥公路田东经天等至大新段、巴马一凭祥公路大新经龙州至凭祥段、松旺至铁山港东岸公路、天峨一北海公路巴马至平果段)对使用</w:t>
      </w:r>
      <w:r>
        <w:rPr>
          <w:rFonts w:hint="default" w:ascii="Times New Roman" w:hAnsi="Times New Roman" w:eastAsia="仿宋_GB2312" w:cs="Times New Roman"/>
          <w:b w:val="0"/>
          <w:bCs w:val="0"/>
          <w:color w:val="auto"/>
          <w:sz w:val="32"/>
          <w:szCs w:val="32"/>
          <w:lang w:val="en-US" w:eastAsia="zh-CN"/>
        </w:rPr>
        <w:t>ETC</w:t>
      </w:r>
      <w:r>
        <w:rPr>
          <w:rFonts w:hint="eastAsia" w:ascii="仿宋_GB2312" w:hAnsi="仿宋_GB2312" w:eastAsia="仿宋_GB2312" w:cs="仿宋_GB2312"/>
          <w:b w:val="0"/>
          <w:bCs w:val="0"/>
          <w:color w:val="auto"/>
          <w:sz w:val="32"/>
          <w:szCs w:val="32"/>
          <w:lang w:val="en-US" w:eastAsia="zh-CN"/>
        </w:rPr>
        <w:t>支付的一类客车，给予车辆通行费减半优惠。</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）分路段差异化收费</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沿边、临港、连接产业园区的靖西至那坡高速公路崇左至靖西高速公路、钦州至崇左高速公路、上思至防城港公路大塘至浦北公路、南丹至下老公路、天峨至巴马公路、贺州至巴马公路（都安至巴马段）、巴马一凭祥公路巴马至田东段、巴马一凭祥公路田东经天等至大新段、巴马一凭祥公路大新经龙州至凭祥段、乐业至百色公路、柳州经合山至南宁公路、六景至钦州港高速公路、柳州至武宣高速公路、贵港至合浦高速公路、玉林至铁山港高速公路等</w:t>
      </w:r>
      <w:r>
        <w:rPr>
          <w:rFonts w:hint="default" w:ascii="Times New Roman" w:hAnsi="Times New Roman" w:eastAsia="仿宋_GB2312" w:cs="Times New Roman"/>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val="en-US" w:eastAsia="zh-CN"/>
        </w:rPr>
        <w:t>条试点路段,实施一类至六类合法装载货车(不含大件运输车及专项作业车)通行费</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折优惠措施，其中，对从北部湾港钦州、北海、防城港</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个港区和东兴、友谊关凭祥</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个公路铁路口岸(以下简称北部湾港三港区三口岸)对应指定收费站点进出的-类至六类合法装载货车再给予</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折优惠。</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）分车型差异化收费</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①以政府定价收费标准为基础，继续对合法装载的二类至五类货车实行无差别</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折优惠，对合法装载的六类货车实行无差别</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折优惠，机场高速除外(与试点路段的分路段差异化收费优惠不叠加)。②继续对合法装载的</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英尺、</w:t>
      </w:r>
      <w:r>
        <w:rPr>
          <w:rFonts w:hint="default" w:ascii="Times New Roman" w:hAnsi="Times New Roman" w:eastAsia="仿宋_GB2312" w:cs="Times New Roman"/>
          <w:b w:val="0"/>
          <w:bCs w:val="0"/>
          <w:color w:val="auto"/>
          <w:sz w:val="32"/>
          <w:szCs w:val="32"/>
          <w:lang w:val="en-US" w:eastAsia="zh-CN"/>
        </w:rPr>
        <w:t>40</w:t>
      </w:r>
      <w:r>
        <w:rPr>
          <w:rFonts w:hint="eastAsia" w:ascii="仿宋_GB2312" w:hAnsi="仿宋_GB2312" w:eastAsia="仿宋_GB2312" w:cs="仿宋_GB2312"/>
          <w:b w:val="0"/>
          <w:bCs w:val="0"/>
          <w:color w:val="auto"/>
          <w:sz w:val="32"/>
          <w:szCs w:val="32"/>
          <w:lang w:val="en-US" w:eastAsia="zh-CN"/>
        </w:rPr>
        <w:t>英尺、</w:t>
      </w:r>
      <w:r>
        <w:rPr>
          <w:rFonts w:hint="default" w:ascii="Times New Roman" w:hAnsi="Times New Roman" w:eastAsia="仿宋_GB2312" w:cs="Times New Roman"/>
          <w:b w:val="0"/>
          <w:bCs w:val="0"/>
          <w:color w:val="auto"/>
          <w:sz w:val="32"/>
          <w:szCs w:val="32"/>
          <w:lang w:val="en-US" w:eastAsia="zh-CN"/>
        </w:rPr>
        <w:t>45</w:t>
      </w:r>
      <w:r>
        <w:rPr>
          <w:rFonts w:hint="eastAsia" w:ascii="仿宋_GB2312" w:hAnsi="仿宋_GB2312" w:eastAsia="仿宋_GB2312" w:cs="仿宋_GB2312"/>
          <w:b w:val="0"/>
          <w:bCs w:val="0"/>
          <w:color w:val="auto"/>
          <w:sz w:val="32"/>
          <w:szCs w:val="32"/>
          <w:lang w:val="en-US" w:eastAsia="zh-CN"/>
        </w:rPr>
        <w:t>英尺国际标准集装箱运输专用</w:t>
      </w:r>
      <w:r>
        <w:rPr>
          <w:rFonts w:hint="default" w:ascii="Times New Roman" w:hAnsi="Times New Roman" w:eastAsia="仿宋_GB2312" w:cs="Times New Roman"/>
          <w:b w:val="0"/>
          <w:bCs w:val="0"/>
          <w:color w:val="auto"/>
          <w:sz w:val="32"/>
          <w:szCs w:val="32"/>
          <w:lang w:val="en-US" w:eastAsia="zh-CN"/>
        </w:rPr>
        <w:t>ETC</w:t>
      </w:r>
      <w:r>
        <w:rPr>
          <w:rFonts w:hint="eastAsia" w:ascii="仿宋_GB2312" w:hAnsi="仿宋_GB2312" w:eastAsia="仿宋_GB2312" w:cs="仿宋_GB2312"/>
          <w:b w:val="0"/>
          <w:bCs w:val="0"/>
          <w:color w:val="auto"/>
          <w:sz w:val="32"/>
          <w:szCs w:val="32"/>
          <w:lang w:val="en-US" w:eastAsia="zh-CN"/>
        </w:rPr>
        <w:t>车辆，在预约通行广西高速公路指定收费站点进出北部湾港三港区三口岸以及西江经济带港口、码头时，实行减半收取车辆通行费（与试点路段的分路段差异化收费优惠不叠加）;其中进出北部湾港三港区三口岸并通行</w:t>
      </w:r>
      <w:r>
        <w:rPr>
          <w:rFonts w:hint="default" w:ascii="Times New Roman" w:hAnsi="Times New Roman" w:eastAsia="仿宋_GB2312" w:cs="Times New Roman"/>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val="en-US" w:eastAsia="zh-CN"/>
        </w:rPr>
        <w:t>条试点路段产生的车辆通行费，在减半基础上再给予</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折优惠。③对合法装载</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英尺、</w:t>
      </w:r>
      <w:r>
        <w:rPr>
          <w:rFonts w:hint="default" w:ascii="Times New Roman" w:hAnsi="Times New Roman" w:eastAsia="仿宋_GB2312" w:cs="Times New Roman"/>
          <w:b w:val="0"/>
          <w:bCs w:val="0"/>
          <w:color w:val="auto"/>
          <w:sz w:val="32"/>
          <w:szCs w:val="32"/>
          <w:lang w:val="en-US" w:eastAsia="zh-CN"/>
        </w:rPr>
        <w:t>40</w:t>
      </w:r>
      <w:r>
        <w:rPr>
          <w:rFonts w:hint="eastAsia" w:ascii="仿宋_GB2312" w:hAnsi="仿宋_GB2312" w:eastAsia="仿宋_GB2312" w:cs="仿宋_GB2312"/>
          <w:b w:val="0"/>
          <w:bCs w:val="0"/>
          <w:color w:val="auto"/>
          <w:sz w:val="32"/>
          <w:szCs w:val="32"/>
          <w:lang w:val="en-US" w:eastAsia="zh-CN"/>
        </w:rPr>
        <w:t>英尺、</w:t>
      </w:r>
      <w:r>
        <w:rPr>
          <w:rFonts w:hint="default" w:ascii="Times New Roman" w:hAnsi="Times New Roman" w:eastAsia="仿宋_GB2312" w:cs="Times New Roman"/>
          <w:b w:val="0"/>
          <w:bCs w:val="0"/>
          <w:color w:val="auto"/>
          <w:sz w:val="32"/>
          <w:szCs w:val="32"/>
          <w:lang w:val="en-US" w:eastAsia="zh-CN"/>
        </w:rPr>
        <w:t>45</w:t>
      </w:r>
      <w:r>
        <w:rPr>
          <w:rFonts w:hint="eastAsia" w:ascii="仿宋_GB2312" w:hAnsi="仿宋_GB2312" w:eastAsia="仿宋_GB2312" w:cs="仿宋_GB2312"/>
          <w:b w:val="0"/>
          <w:bCs w:val="0"/>
          <w:color w:val="auto"/>
          <w:sz w:val="32"/>
          <w:szCs w:val="32"/>
          <w:lang w:val="en-US" w:eastAsia="zh-CN"/>
        </w:rPr>
        <w:t>英尺国际标准集装箱运输专用</w:t>
      </w:r>
      <w:r>
        <w:rPr>
          <w:rFonts w:hint="default" w:ascii="Times New Roman" w:hAnsi="Times New Roman" w:eastAsia="仿宋_GB2312" w:cs="Times New Roman"/>
          <w:b w:val="0"/>
          <w:bCs w:val="0"/>
          <w:color w:val="auto"/>
          <w:sz w:val="32"/>
          <w:szCs w:val="32"/>
          <w:lang w:val="en-US" w:eastAsia="zh-CN"/>
        </w:rPr>
        <w:t>ETC</w:t>
      </w:r>
      <w:r>
        <w:rPr>
          <w:rFonts w:hint="eastAsia" w:ascii="仿宋_GB2312" w:hAnsi="仿宋_GB2312" w:eastAsia="仿宋_GB2312" w:cs="仿宋_GB2312"/>
          <w:b w:val="0"/>
          <w:bCs w:val="0"/>
          <w:color w:val="auto"/>
          <w:sz w:val="32"/>
          <w:szCs w:val="32"/>
          <w:lang w:val="en-US" w:eastAsia="zh-CN"/>
        </w:rPr>
        <w:t>车辆，实行单次通行“递远递减”按里程阶梯收费方式，在广西境内高速公路任一收费站驶出且单次连续行驶广西高速公路</w:t>
      </w:r>
      <w:r>
        <w:rPr>
          <w:rFonts w:hint="default" w:ascii="Times New Roman" w:hAnsi="Times New Roman" w:eastAsia="仿宋_GB2312" w:cs="Times New Roman"/>
          <w:b w:val="0"/>
          <w:bCs w:val="0"/>
          <w:color w:val="auto"/>
          <w:sz w:val="32"/>
          <w:szCs w:val="32"/>
          <w:lang w:val="en-US" w:eastAsia="zh-CN"/>
        </w:rPr>
        <w:t>300</w:t>
      </w:r>
      <w:r>
        <w:rPr>
          <w:rFonts w:hint="eastAsia" w:ascii="仿宋_GB2312" w:hAnsi="仿宋_GB2312" w:eastAsia="仿宋_GB2312" w:cs="仿宋_GB2312"/>
          <w:b w:val="0"/>
          <w:bCs w:val="0"/>
          <w:color w:val="auto"/>
          <w:sz w:val="32"/>
          <w:szCs w:val="32"/>
          <w:lang w:val="en-US" w:eastAsia="zh-CN"/>
        </w:rPr>
        <w:t>公里-</w:t>
      </w:r>
      <w:r>
        <w:rPr>
          <w:rFonts w:hint="default" w:ascii="Times New Roman" w:hAnsi="Times New Roman" w:eastAsia="仿宋_GB2312" w:cs="Times New Roman"/>
          <w:b w:val="0"/>
          <w:bCs w:val="0"/>
          <w:color w:val="auto"/>
          <w:sz w:val="32"/>
          <w:szCs w:val="32"/>
          <w:lang w:val="en-US" w:eastAsia="zh-CN"/>
        </w:rPr>
        <w:t>400</w:t>
      </w:r>
      <w:r>
        <w:rPr>
          <w:rFonts w:hint="eastAsia" w:ascii="仿宋_GB2312" w:hAnsi="仿宋_GB2312" w:eastAsia="仿宋_GB2312" w:cs="仿宋_GB2312"/>
          <w:b w:val="0"/>
          <w:bCs w:val="0"/>
          <w:color w:val="auto"/>
          <w:sz w:val="32"/>
          <w:szCs w:val="32"/>
          <w:lang w:val="en-US" w:eastAsia="zh-CN"/>
        </w:rPr>
        <w:t>公里的，给予相应的车辆通行费</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折优惠;单次连续行驶广西高速公路</w:t>
      </w:r>
      <w:r>
        <w:rPr>
          <w:rFonts w:hint="default" w:ascii="Times New Roman" w:hAnsi="Times New Roman" w:eastAsia="仿宋_GB2312" w:cs="Times New Roman"/>
          <w:b w:val="0"/>
          <w:bCs w:val="0"/>
          <w:color w:val="auto"/>
          <w:sz w:val="32"/>
          <w:szCs w:val="32"/>
          <w:lang w:val="en-US" w:eastAsia="zh-CN"/>
        </w:rPr>
        <w:t>400</w:t>
      </w:r>
      <w:r>
        <w:rPr>
          <w:rFonts w:hint="eastAsia" w:ascii="仿宋_GB2312" w:hAnsi="仿宋_GB2312" w:eastAsia="仿宋_GB2312" w:cs="仿宋_GB2312"/>
          <w:b w:val="0"/>
          <w:bCs w:val="0"/>
          <w:color w:val="auto"/>
          <w:sz w:val="32"/>
          <w:szCs w:val="32"/>
          <w:lang w:val="en-US" w:eastAsia="zh-CN"/>
        </w:rPr>
        <w:t>公里-</w:t>
      </w:r>
      <w:r>
        <w:rPr>
          <w:rFonts w:hint="default" w:ascii="Times New Roman" w:hAnsi="Times New Roman" w:eastAsia="仿宋_GB2312" w:cs="Times New Roman"/>
          <w:b w:val="0"/>
          <w:bCs w:val="0"/>
          <w:color w:val="auto"/>
          <w:sz w:val="32"/>
          <w:szCs w:val="32"/>
          <w:lang w:val="en-US" w:eastAsia="zh-CN"/>
        </w:rPr>
        <w:t>550</w:t>
      </w:r>
      <w:r>
        <w:rPr>
          <w:rFonts w:hint="eastAsia" w:ascii="仿宋_GB2312" w:hAnsi="仿宋_GB2312" w:eastAsia="仿宋_GB2312" w:cs="仿宋_GB2312"/>
          <w:b w:val="0"/>
          <w:bCs w:val="0"/>
          <w:color w:val="auto"/>
          <w:sz w:val="32"/>
          <w:szCs w:val="32"/>
          <w:lang w:val="en-US" w:eastAsia="zh-CN"/>
        </w:rPr>
        <w:t>公里的，给子相应的车辆通行费</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折优惠;单次连续行驶广西高速公路</w:t>
      </w:r>
      <w:r>
        <w:rPr>
          <w:rFonts w:hint="default" w:ascii="Times New Roman" w:hAnsi="Times New Roman" w:eastAsia="仿宋_GB2312" w:cs="Times New Roman"/>
          <w:b w:val="0"/>
          <w:bCs w:val="0"/>
          <w:color w:val="auto"/>
          <w:sz w:val="32"/>
          <w:szCs w:val="32"/>
          <w:lang w:val="en-US" w:eastAsia="zh-CN"/>
        </w:rPr>
        <w:t>550</w:t>
      </w:r>
      <w:r>
        <w:rPr>
          <w:rFonts w:hint="eastAsia" w:ascii="仿宋_GB2312" w:hAnsi="仿宋_GB2312" w:eastAsia="仿宋_GB2312" w:cs="仿宋_GB2312"/>
          <w:b w:val="0"/>
          <w:bCs w:val="0"/>
          <w:color w:val="auto"/>
          <w:sz w:val="32"/>
          <w:szCs w:val="32"/>
          <w:lang w:val="en-US" w:eastAsia="zh-CN"/>
        </w:rPr>
        <w:t>公里以上的，</w:t>
      </w:r>
      <w:r>
        <w:rPr>
          <w:rFonts w:hint="eastAsia" w:ascii="仿宋_GB2312" w:hAnsi="仿宋_GB2312" w:eastAsia="仿宋_GB2312" w:cs="仿宋_GB2312"/>
          <w:b w:val="0"/>
          <w:bCs w:val="0"/>
          <w:color w:val="auto"/>
          <w:spacing w:val="6"/>
          <w:sz w:val="32"/>
          <w:szCs w:val="32"/>
          <w:lang w:val="en-US" w:eastAsia="zh-CN"/>
        </w:rPr>
        <w:t>给子相应的车辆通行费</w:t>
      </w:r>
      <w:r>
        <w:rPr>
          <w:rFonts w:hint="default" w:ascii="Times New Roman" w:hAnsi="Times New Roman" w:eastAsia="仿宋_GB2312" w:cs="Times New Roman"/>
          <w:b w:val="0"/>
          <w:bCs w:val="0"/>
          <w:color w:val="auto"/>
          <w:spacing w:val="6"/>
          <w:sz w:val="32"/>
          <w:szCs w:val="32"/>
          <w:lang w:val="en-US" w:eastAsia="zh-CN"/>
        </w:rPr>
        <w:t>7</w:t>
      </w:r>
      <w:r>
        <w:rPr>
          <w:rFonts w:hint="eastAsia" w:ascii="仿宋_GB2312" w:hAnsi="仿宋_GB2312" w:eastAsia="仿宋_GB2312" w:cs="仿宋_GB2312"/>
          <w:b w:val="0"/>
          <w:bCs w:val="0"/>
          <w:color w:val="auto"/>
          <w:spacing w:val="6"/>
          <w:sz w:val="32"/>
          <w:szCs w:val="32"/>
          <w:lang w:val="en-US" w:eastAsia="zh-CN"/>
        </w:rPr>
        <w:t>折优惠(与集装箱车辆减半优惠不叠加）。④对每月通行广西高速公路次数在</w:t>
      </w:r>
      <w:r>
        <w:rPr>
          <w:rFonts w:hint="default" w:ascii="Times New Roman" w:hAnsi="Times New Roman" w:eastAsia="仿宋_GB2312" w:cs="Times New Roman"/>
          <w:b w:val="0"/>
          <w:bCs w:val="0"/>
          <w:color w:val="auto"/>
          <w:spacing w:val="6"/>
          <w:sz w:val="32"/>
          <w:szCs w:val="32"/>
          <w:lang w:val="en-US" w:eastAsia="zh-CN"/>
        </w:rPr>
        <w:t>30</w:t>
      </w:r>
      <w:r>
        <w:rPr>
          <w:rFonts w:hint="eastAsia" w:ascii="仿宋_GB2312" w:hAnsi="仿宋_GB2312" w:eastAsia="仿宋_GB2312" w:cs="仿宋_GB2312"/>
          <w:b w:val="0"/>
          <w:bCs w:val="0"/>
          <w:color w:val="auto"/>
          <w:spacing w:val="6"/>
          <w:sz w:val="32"/>
          <w:szCs w:val="32"/>
          <w:lang w:val="en-US" w:eastAsia="zh-CN"/>
        </w:rPr>
        <w:t>次（含）以上的</w:t>
      </w:r>
      <w:r>
        <w:rPr>
          <w:rFonts w:hint="default" w:ascii="Times New Roman" w:hAnsi="Times New Roman" w:eastAsia="仿宋_GB2312" w:cs="Times New Roman"/>
          <w:b w:val="0"/>
          <w:bCs w:val="0"/>
          <w:color w:val="auto"/>
          <w:spacing w:val="6"/>
          <w:sz w:val="32"/>
          <w:szCs w:val="32"/>
          <w:lang w:val="en-US" w:eastAsia="zh-CN"/>
        </w:rPr>
        <w:t>ETC</w:t>
      </w:r>
      <w:r>
        <w:rPr>
          <w:rFonts w:hint="eastAsia" w:ascii="仿宋_GB2312" w:hAnsi="仿宋_GB2312" w:eastAsia="仿宋_GB2312" w:cs="仿宋_GB2312"/>
          <w:b w:val="0"/>
          <w:bCs w:val="0"/>
          <w:color w:val="auto"/>
          <w:spacing w:val="6"/>
          <w:sz w:val="32"/>
          <w:szCs w:val="32"/>
          <w:lang w:val="en-US" w:eastAsia="zh-CN"/>
        </w:rPr>
        <w:t>公路客运班线客车，给予相应的广西区内高速公路通行费</w:t>
      </w:r>
      <w:r>
        <w:rPr>
          <w:rFonts w:hint="default" w:ascii="Times New Roman" w:hAnsi="Times New Roman" w:eastAsia="仿宋_GB2312" w:cs="Times New Roman"/>
          <w:b w:val="0"/>
          <w:bCs w:val="0"/>
          <w:color w:val="auto"/>
          <w:spacing w:val="6"/>
          <w:sz w:val="32"/>
          <w:szCs w:val="32"/>
          <w:lang w:val="en-US" w:eastAsia="zh-CN"/>
        </w:rPr>
        <w:t>9</w:t>
      </w:r>
      <w:r>
        <w:rPr>
          <w:rFonts w:hint="eastAsia" w:ascii="仿宋_GB2312" w:hAnsi="仿宋_GB2312" w:eastAsia="仿宋_GB2312" w:cs="仿宋_GB2312"/>
          <w:b w:val="0"/>
          <w:bCs w:val="0"/>
          <w:color w:val="auto"/>
          <w:spacing w:val="6"/>
          <w:sz w:val="32"/>
          <w:szCs w:val="32"/>
          <w:lang w:val="en-US" w:eastAsia="zh-CN"/>
        </w:rPr>
        <w:t>折优惠。</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）自主差异化收费</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除上述差异化收费政策措施外，支持高速公路经营管理单位按照以政府定价收费标准为上限、差异化下浮的原则，结合管辖路段车流特征、临近园区和邻近工矿企业运输需求、城市周边车辆通行等情况，探索创新自主定价方式，对通行管辖路段的特定车辆，实施分出入口、分时段、分方向、分车型等差异化收费:引导车辆通行高速公路，实现“降费引流，多方共赢”效果。</w:t>
      </w:r>
    </w:p>
    <w:p>
      <w:pPr>
        <w:numPr>
          <w:ilvl w:val="0"/>
          <w:numId w:val="0"/>
        </w:numPr>
        <w:spacing w:beforeLines="0" w:afterLines="0" w:line="54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①鼓励高速公路经营管理单位与龙头企业协商，通过“以量定价”方式实施自主差异化收费。</w:t>
      </w:r>
    </w:p>
    <w:p>
      <w:pPr>
        <w:numPr>
          <w:ilvl w:val="0"/>
          <w:numId w:val="0"/>
        </w:numPr>
        <w:spacing w:beforeLines="0" w:afterLines="0" w:line="54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②鼓</w:t>
      </w:r>
      <w:r>
        <w:rPr>
          <w:rFonts w:hint="eastAsia" w:ascii="仿宋_GB2312" w:hAnsi="仿宋_GB2312" w:eastAsia="仿宋_GB2312" w:cs="仿宋_GB2312"/>
          <w:b w:val="0"/>
          <w:bCs w:val="0"/>
          <w:color w:val="auto"/>
          <w:spacing w:val="-6"/>
          <w:sz w:val="32"/>
          <w:szCs w:val="32"/>
          <w:lang w:val="en-US" w:eastAsia="zh-CN"/>
        </w:rPr>
        <w:t>励高速公路经营管理单位与邻近园区及企业协商，为企业“量身定做”收费方案实施“一企一策”“一园一策”差异化收费。</w:t>
      </w:r>
    </w:p>
    <w:p>
      <w:pPr>
        <w:numPr>
          <w:ilvl w:val="0"/>
          <w:numId w:val="0"/>
        </w:numPr>
        <w:spacing w:beforeLines="0" w:afterLines="0" w:line="54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③鼓励高速公路经营管理单位实施“递远递减”差异化收费，引导长距离出行用户行驶高速公路，提升行车安全性。</w:t>
      </w:r>
    </w:p>
    <w:p>
      <w:pPr>
        <w:numPr>
          <w:ilvl w:val="0"/>
          <w:numId w:val="0"/>
        </w:numPr>
        <w:spacing w:beforeLines="0" w:afterLines="0" w:line="54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④鼓励高速公路经营管理单位实施“空车”差异化收费。引导空载货车行驶高速公路，充分发挥高速公路能效。</w:t>
      </w:r>
    </w:p>
    <w:p>
      <w:pPr>
        <w:numPr>
          <w:ilvl w:val="0"/>
          <w:numId w:val="0"/>
        </w:numPr>
        <w:spacing w:beforeLines="0" w:afterLines="0" w:line="54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⑤鼓</w:t>
      </w:r>
      <w:r>
        <w:rPr>
          <w:rFonts w:hint="eastAsia" w:ascii="仿宋_GB2312" w:hAnsi="仿宋_GB2312" w:eastAsia="仿宋_GB2312" w:cs="仿宋_GB2312"/>
          <w:b w:val="0"/>
          <w:bCs w:val="0"/>
          <w:color w:val="auto"/>
          <w:spacing w:val="0"/>
          <w:sz w:val="32"/>
          <w:szCs w:val="32"/>
          <w:lang w:val="en-US" w:eastAsia="zh-CN"/>
        </w:rPr>
        <w:t>励高速公路经营管理单位对安装使用</w:t>
      </w:r>
      <w:r>
        <w:rPr>
          <w:rFonts w:hint="default" w:ascii="Times New Roman" w:hAnsi="Times New Roman" w:eastAsia="仿宋_GB2312" w:cs="Times New Roman"/>
          <w:b w:val="0"/>
          <w:bCs w:val="0"/>
          <w:color w:val="auto"/>
          <w:spacing w:val="0"/>
          <w:sz w:val="32"/>
          <w:szCs w:val="32"/>
          <w:lang w:val="en-US" w:eastAsia="zh-CN"/>
        </w:rPr>
        <w:t>ETC</w:t>
      </w:r>
      <w:r>
        <w:rPr>
          <w:rFonts w:hint="eastAsia" w:ascii="仿宋_GB2312" w:hAnsi="仿宋_GB2312" w:eastAsia="仿宋_GB2312" w:cs="仿宋_GB2312"/>
          <w:b w:val="0"/>
          <w:bCs w:val="0"/>
          <w:color w:val="auto"/>
          <w:spacing w:val="0"/>
          <w:sz w:val="32"/>
          <w:szCs w:val="32"/>
          <w:lang w:val="en-US" w:eastAsia="zh-CN"/>
        </w:rPr>
        <w:t>行驶高速公路</w:t>
      </w:r>
      <w:r>
        <w:rPr>
          <w:rFonts w:hint="eastAsia" w:ascii="仿宋_GB2312" w:hAnsi="仿宋_GB2312" w:eastAsia="仿宋_GB2312" w:cs="仿宋_GB2312"/>
          <w:b w:val="0"/>
          <w:bCs w:val="0"/>
          <w:color w:val="auto"/>
          <w:spacing w:val="-6"/>
          <w:sz w:val="32"/>
          <w:szCs w:val="32"/>
          <w:lang w:val="en-US" w:eastAsia="zh-CN"/>
        </w:rPr>
        <w:t>的新能源货车加大通行费优惠力度,促进交通智慧绿色低碳发展。</w:t>
      </w:r>
    </w:p>
    <w:p>
      <w:pPr>
        <w:numPr>
          <w:ilvl w:val="0"/>
          <w:numId w:val="0"/>
        </w:numPr>
        <w:spacing w:beforeLines="0" w:afterLines="0" w:line="54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⑥鼓励高速公路经营管理单位探索“会员积分制”差异化收费，对经常行驶高速公路的车辆，以及使用数字人民币等其他支付方式的车辆，给予一定幅度的通行费优惠。</w:t>
      </w:r>
    </w:p>
    <w:p>
      <w:pPr>
        <w:numPr>
          <w:ilvl w:val="0"/>
          <w:numId w:val="0"/>
        </w:numPr>
        <w:spacing w:beforeLines="0" w:afterLines="0" w:line="54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上述具体差异化下浮的收费标准和执行期限、执行范围等报自治区交通运输厅备案后实施。</w:t>
      </w:r>
    </w:p>
    <w:p>
      <w:pPr>
        <w:numPr>
          <w:ilvl w:val="0"/>
          <w:numId w:val="0"/>
        </w:numPr>
        <w:spacing w:beforeLines="0" w:afterLines="0" w:line="54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《广西壮族自治区交通运输厅 广西壮族自治区发展和改革</w:t>
      </w:r>
      <w:r>
        <w:rPr>
          <w:rFonts w:hint="eastAsia" w:ascii="仿宋_GB2312" w:hAnsi="仿宋_GB2312" w:eastAsia="仿宋_GB2312" w:cs="仿宋_GB2312"/>
          <w:b/>
          <w:bCs/>
          <w:color w:val="auto"/>
          <w:spacing w:val="-6"/>
          <w:sz w:val="32"/>
          <w:szCs w:val="32"/>
          <w:lang w:val="en-US" w:eastAsia="zh-CN"/>
        </w:rPr>
        <w:t>委员会 广西壮族自治区财政厅关于印发广西高速公路实施差异化收费推进经济高质量发展工作方案的通知》(桂交规〔</w:t>
      </w:r>
      <w:r>
        <w:rPr>
          <w:rFonts w:hint="default" w:ascii="Times New Roman" w:hAnsi="Times New Roman" w:eastAsia="仿宋_GB2312" w:cs="Times New Roman"/>
          <w:b/>
          <w:bCs/>
          <w:color w:val="auto"/>
          <w:spacing w:val="-6"/>
          <w:sz w:val="32"/>
          <w:szCs w:val="32"/>
          <w:lang w:val="en-US" w:eastAsia="zh-CN"/>
        </w:rPr>
        <w:t>2023</w:t>
      </w:r>
      <w:r>
        <w:rPr>
          <w:rFonts w:hint="eastAsia" w:ascii="仿宋_GB2312" w:hAnsi="仿宋_GB2312" w:eastAsia="仿宋_GB2312" w:cs="仿宋_GB2312"/>
          <w:b/>
          <w:bCs/>
          <w:color w:val="auto"/>
          <w:spacing w:val="-6"/>
          <w:sz w:val="32"/>
          <w:szCs w:val="32"/>
          <w:lang w:val="en-US" w:eastAsia="zh-CN"/>
        </w:rPr>
        <w:t>〕</w:t>
      </w:r>
      <w:r>
        <w:rPr>
          <w:rFonts w:hint="default" w:ascii="Times New Roman" w:hAnsi="Times New Roman" w:eastAsia="仿宋_GB2312" w:cs="Times New Roman"/>
          <w:b/>
          <w:bCs/>
          <w:color w:val="auto"/>
          <w:spacing w:val="-6"/>
          <w:sz w:val="32"/>
          <w:szCs w:val="32"/>
          <w:lang w:val="en-US" w:eastAsia="zh-CN"/>
        </w:rPr>
        <w:t>11</w:t>
      </w:r>
      <w:r>
        <w:rPr>
          <w:rFonts w:hint="eastAsia" w:ascii="仿宋_GB2312" w:hAnsi="仿宋_GB2312" w:eastAsia="仿宋_GB2312" w:cs="仿宋_GB2312"/>
          <w:b/>
          <w:bCs/>
          <w:color w:val="auto"/>
          <w:spacing w:val="-6"/>
          <w:sz w:val="32"/>
          <w:szCs w:val="32"/>
          <w:lang w:val="en-US" w:eastAsia="zh-CN"/>
        </w:rPr>
        <w:t>号)</w:t>
      </w:r>
    </w:p>
    <w:p>
      <w:pPr>
        <w:numPr>
          <w:ilvl w:val="0"/>
          <w:numId w:val="0"/>
        </w:numPr>
        <w:spacing w:beforeLines="0" w:afterLines="0" w:line="54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.农村客运补贴资金、城市交通发展奖励资金。</w:t>
      </w:r>
      <w:r>
        <w:rPr>
          <w:rFonts w:hint="default" w:ascii="Times New Roman" w:hAnsi="Times New Roman" w:eastAsia="仿宋_GB2312" w:cs="Times New Roman"/>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val="en-US" w:eastAsia="zh-CN"/>
        </w:rPr>
        <w:t>年度农村客运补贴资金及城市交通发展奖励资金发放。</w:t>
      </w:r>
      <w:r>
        <w:rPr>
          <w:rFonts w:hint="eastAsia" w:ascii="仿宋_GB2312" w:hAnsi="仿宋_GB2312" w:eastAsia="仿宋_GB2312" w:cs="仿宋_GB2312"/>
          <w:b/>
          <w:bCs/>
          <w:color w:val="auto"/>
          <w:sz w:val="32"/>
          <w:szCs w:val="32"/>
          <w:lang w:val="en-US" w:eastAsia="zh-CN"/>
        </w:rPr>
        <w:t>《玉林市财政局关于下达</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年度农村客运补贴资金、城市交通发展奖励资金的通知》（玉市财工交〔</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46</w:t>
      </w:r>
      <w:r>
        <w:rPr>
          <w:rFonts w:hint="eastAsia" w:ascii="仿宋_GB2312" w:hAnsi="仿宋_GB2312" w:eastAsia="仿宋_GB2312" w:cs="仿宋_GB2312"/>
          <w:b/>
          <w:bCs/>
          <w:color w:val="auto"/>
          <w:sz w:val="32"/>
          <w:szCs w:val="32"/>
          <w:lang w:val="en-US" w:eastAsia="zh-CN"/>
        </w:rPr>
        <w:t>号）</w:t>
      </w:r>
    </w:p>
    <w:p>
      <w:pPr>
        <w:numPr>
          <w:ilvl w:val="-1"/>
          <w:numId w:val="0"/>
        </w:numPr>
        <w:spacing w:beforeLines="0" w:afterLines="0" w:line="560" w:lineRule="exact"/>
        <w:ind w:left="576" w:leftChars="0" w:hanging="576" w:hangingChars="131"/>
        <w:jc w:val="center"/>
        <w:outlineLvl w:val="0"/>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四、科技企业优惠政策</w:t>
      </w:r>
    </w:p>
    <w:p>
      <w:pPr>
        <w:pStyle w:val="2"/>
        <w:widowControl w:val="0"/>
        <w:spacing w:beforeLines="0" w:after="0" w:afterLines="0" w:line="560" w:lineRule="exact"/>
        <w:ind w:firstLine="640" w:firstLineChars="200"/>
        <w:rPr>
          <w:rFonts w:hint="eastAsia" w:ascii="仿宋_GB2312" w:hAnsi="仿宋_GB2312" w:eastAsia="仿宋_GB2312" w:cs="仿宋_GB2312"/>
          <w:color w:val="auto"/>
          <w:sz w:val="32"/>
          <w:szCs w:val="32"/>
          <w:lang w:val="en-US" w:eastAsia="zh-CN"/>
        </w:rPr>
      </w:pP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8</w:t>
      </w:r>
      <w:r>
        <w:rPr>
          <w:rFonts w:hint="eastAsia" w:ascii="仿宋_GB2312" w:hAnsi="仿宋_GB2312" w:eastAsia="仿宋_GB2312" w:cs="仿宋_GB2312"/>
          <w:b/>
          <w:bCs/>
          <w:color w:val="auto"/>
          <w:sz w:val="32"/>
          <w:szCs w:val="32"/>
          <w:lang w:val="en-US" w:eastAsia="zh-CN"/>
        </w:rPr>
        <w:t>.企业科技特派员补助。</w:t>
      </w:r>
      <w:r>
        <w:rPr>
          <w:rFonts w:hint="eastAsia" w:ascii="仿宋_GB2312" w:hAnsi="仿宋_GB2312" w:eastAsia="仿宋_GB2312" w:cs="仿宋_GB2312"/>
          <w:b w:val="0"/>
          <w:bCs w:val="0"/>
          <w:color w:val="auto"/>
          <w:sz w:val="32"/>
          <w:szCs w:val="32"/>
          <w:lang w:val="en-US" w:eastAsia="zh-CN"/>
        </w:rPr>
        <w:t>对签署合作协议书的科技特派员，从自治区本级财政科技计划项目资金中，按照每年每人</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万元标准给予补助（科技特派团按照每年每团</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万元标准）</w:t>
      </w:r>
      <w:r>
        <w:rPr>
          <w:rFonts w:hint="eastAsia" w:ascii="仿宋_GB2312" w:hAnsi="仿宋_GB2312" w:eastAsia="仿宋_GB2312" w:cs="仿宋_GB2312"/>
          <w:b/>
          <w:bCs/>
          <w:color w:val="auto"/>
          <w:sz w:val="32"/>
          <w:szCs w:val="32"/>
          <w:lang w:val="en-US" w:eastAsia="zh-CN"/>
        </w:rPr>
        <w:t>《广西壮族自治区科学技术厅等</w:t>
      </w: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部门关于印发广西企业科技特派员工作方案（暂行）的通知》(桂科发〔</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33</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pacing w:val="6"/>
          <w:sz w:val="32"/>
          <w:szCs w:val="32"/>
          <w:lang w:val="en-US" w:eastAsia="zh-CN"/>
        </w:rPr>
      </w:pPr>
      <w:r>
        <w:rPr>
          <w:rFonts w:hint="eastAsia" w:ascii="Times New Roman" w:hAnsi="Times New Roman" w:eastAsia="仿宋_GB2312" w:cs="Times New Roman"/>
          <w:b/>
          <w:bCs/>
          <w:color w:val="auto"/>
          <w:sz w:val="32"/>
          <w:szCs w:val="32"/>
          <w:lang w:val="en-US" w:eastAsia="zh-CN"/>
        </w:rPr>
        <w:t>29</w:t>
      </w:r>
      <w:r>
        <w:rPr>
          <w:rFonts w:hint="eastAsia" w:ascii="仿宋_GB2312" w:hAnsi="仿宋_GB2312" w:eastAsia="仿宋_GB2312" w:cs="仿宋_GB2312"/>
          <w:b/>
          <w:bCs/>
          <w:color w:val="auto"/>
          <w:sz w:val="32"/>
          <w:szCs w:val="32"/>
          <w:lang w:val="en-US" w:eastAsia="zh-CN"/>
        </w:rPr>
        <w:t>.高新技术企业项目资助。</w:t>
      </w:r>
      <w:r>
        <w:rPr>
          <w:rFonts w:hint="eastAsia" w:ascii="仿宋_GB2312" w:hAnsi="仿宋_GB2312" w:eastAsia="仿宋_GB2312" w:cs="仿宋_GB2312"/>
          <w:b w:val="0"/>
          <w:bCs w:val="0"/>
          <w:color w:val="auto"/>
          <w:sz w:val="32"/>
          <w:szCs w:val="32"/>
          <w:lang w:val="en-US" w:eastAsia="zh-CN"/>
        </w:rPr>
        <w:t>支持有效期内的高新技术企业在国家重点支持的八大高新技术领域范围内开展技术研发、科技</w:t>
      </w:r>
      <w:r>
        <w:rPr>
          <w:rFonts w:hint="eastAsia" w:ascii="仿宋_GB2312" w:hAnsi="仿宋_GB2312" w:eastAsia="仿宋_GB2312" w:cs="仿宋_GB2312"/>
          <w:b w:val="0"/>
          <w:bCs w:val="0"/>
          <w:color w:val="auto"/>
          <w:spacing w:val="6"/>
          <w:sz w:val="32"/>
          <w:szCs w:val="32"/>
          <w:lang w:val="en-US" w:eastAsia="zh-CN"/>
        </w:rPr>
        <w:t>成果转化与应用示范等，进一步提升高新技术企业研发能力。高新技术企业单个项目资助不超过</w:t>
      </w:r>
      <w:r>
        <w:rPr>
          <w:rFonts w:hint="default" w:ascii="Times New Roman" w:hAnsi="Times New Roman" w:eastAsia="仿宋_GB2312" w:cs="Times New Roman"/>
          <w:b w:val="0"/>
          <w:bCs w:val="0"/>
          <w:color w:val="auto"/>
          <w:spacing w:val="6"/>
          <w:sz w:val="32"/>
          <w:szCs w:val="32"/>
          <w:lang w:val="en-US" w:eastAsia="zh-CN"/>
        </w:rPr>
        <w:t>80</w:t>
      </w:r>
      <w:r>
        <w:rPr>
          <w:rFonts w:hint="eastAsia" w:ascii="仿宋_GB2312" w:hAnsi="仿宋_GB2312" w:eastAsia="仿宋_GB2312" w:cs="仿宋_GB2312"/>
          <w:b w:val="0"/>
          <w:bCs w:val="0"/>
          <w:color w:val="auto"/>
          <w:spacing w:val="6"/>
          <w:sz w:val="32"/>
          <w:szCs w:val="32"/>
          <w:lang w:val="en-US" w:eastAsia="zh-CN"/>
        </w:rPr>
        <w:t>万元，瞪羚企业单个项目资助不超过</w:t>
      </w:r>
      <w:r>
        <w:rPr>
          <w:rFonts w:hint="default" w:ascii="Times New Roman" w:hAnsi="Times New Roman" w:eastAsia="仿宋_GB2312" w:cs="Times New Roman"/>
          <w:b w:val="0"/>
          <w:bCs w:val="0"/>
          <w:color w:val="auto"/>
          <w:spacing w:val="6"/>
          <w:sz w:val="32"/>
          <w:szCs w:val="32"/>
          <w:lang w:val="en-US" w:eastAsia="zh-CN"/>
        </w:rPr>
        <w:t>120</w:t>
      </w:r>
      <w:r>
        <w:rPr>
          <w:rFonts w:hint="eastAsia" w:ascii="仿宋_GB2312" w:hAnsi="仿宋_GB2312" w:eastAsia="仿宋_GB2312" w:cs="仿宋_GB2312"/>
          <w:b w:val="0"/>
          <w:bCs w:val="0"/>
          <w:color w:val="auto"/>
          <w:spacing w:val="6"/>
          <w:sz w:val="32"/>
          <w:szCs w:val="32"/>
          <w:lang w:val="en-US" w:eastAsia="zh-CN"/>
        </w:rPr>
        <w:t>万元。</w:t>
      </w:r>
      <w:r>
        <w:rPr>
          <w:rFonts w:hint="eastAsia" w:ascii="仿宋_GB2312" w:hAnsi="仿宋_GB2312" w:eastAsia="仿宋_GB2312" w:cs="仿宋_GB2312"/>
          <w:b/>
          <w:bCs/>
          <w:color w:val="auto"/>
          <w:spacing w:val="6"/>
          <w:sz w:val="32"/>
          <w:szCs w:val="32"/>
          <w:lang w:val="en-US" w:eastAsia="zh-CN"/>
        </w:rPr>
        <w:t>《“十四五”广西科技计划项目申报指南》</w:t>
      </w:r>
    </w:p>
    <w:p>
      <w:pPr>
        <w:numPr>
          <w:ilvl w:val="0"/>
          <w:numId w:val="0"/>
        </w:numPr>
        <w:spacing w:beforeLines="0" w:afterLines="0" w:line="560" w:lineRule="exact"/>
        <w:ind w:firstLine="642" w:firstLineChars="200"/>
        <w:jc w:val="both"/>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30</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pacing w:val="-6"/>
          <w:sz w:val="32"/>
          <w:szCs w:val="32"/>
          <w:lang w:val="en-US" w:eastAsia="zh-CN"/>
        </w:rPr>
        <w:t>企业购买科技成果转化后补助。</w:t>
      </w:r>
      <w:r>
        <w:rPr>
          <w:rFonts w:hint="eastAsia" w:ascii="仿宋_GB2312" w:hAnsi="仿宋_GB2312" w:eastAsia="仿宋_GB2312" w:cs="仿宋_GB2312"/>
          <w:b w:val="0"/>
          <w:bCs w:val="0"/>
          <w:color w:val="auto"/>
          <w:spacing w:val="-6"/>
          <w:sz w:val="32"/>
          <w:szCs w:val="32"/>
          <w:lang w:val="en-US" w:eastAsia="zh-CN"/>
        </w:rPr>
        <w:t>项目支持类型与补助标准：</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）不属于关联交易的：</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Ⅰ类项目：购买科技成果进行产业化，实现年新增销售收入在 </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 xml:space="preserve"> 万元以下的项目，补助技术交易金额的</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，补助额度不超过</w:t>
      </w:r>
      <w:r>
        <w:rPr>
          <w:rFonts w:hint="default" w:ascii="Times New Roman" w:hAnsi="Times New Roman" w:eastAsia="仿宋_GB2312" w:cs="Times New Roman"/>
          <w:b w:val="0"/>
          <w:bCs w:val="0"/>
          <w:color w:val="auto"/>
          <w:sz w:val="32"/>
          <w:szCs w:val="32"/>
          <w:lang w:val="en-US" w:eastAsia="zh-CN"/>
        </w:rPr>
        <w:t>200</w:t>
      </w:r>
      <w:r>
        <w:rPr>
          <w:rFonts w:hint="eastAsia" w:ascii="仿宋_GB2312" w:hAnsi="仿宋_GB2312" w:eastAsia="仿宋_GB2312" w:cs="仿宋_GB2312"/>
          <w:b w:val="0"/>
          <w:bCs w:val="0"/>
          <w:color w:val="auto"/>
          <w:sz w:val="32"/>
          <w:szCs w:val="32"/>
          <w:lang w:val="en-US" w:eastAsia="zh-CN"/>
        </w:rPr>
        <w:t>万元及年新增销售收入。</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Ⅱ类项目：购买科技成果进行产业化，实现年新增销售收入在</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万元（含）至</w:t>
      </w:r>
      <w:r>
        <w:rPr>
          <w:rFonts w:hint="default" w:ascii="Times New Roman" w:hAnsi="Times New Roman" w:eastAsia="仿宋_GB2312" w:cs="Times New Roman"/>
          <w:b w:val="0"/>
          <w:bCs w:val="0"/>
          <w:color w:val="auto"/>
          <w:sz w:val="32"/>
          <w:szCs w:val="32"/>
          <w:lang w:val="en-US" w:eastAsia="zh-CN"/>
        </w:rPr>
        <w:t>1000</w:t>
      </w:r>
      <w:r>
        <w:rPr>
          <w:rFonts w:hint="eastAsia" w:ascii="仿宋_GB2312" w:hAnsi="仿宋_GB2312" w:eastAsia="仿宋_GB2312" w:cs="仿宋_GB2312"/>
          <w:b w:val="0"/>
          <w:bCs w:val="0"/>
          <w:color w:val="auto"/>
          <w:sz w:val="32"/>
          <w:szCs w:val="32"/>
          <w:lang w:val="en-US" w:eastAsia="zh-CN"/>
        </w:rPr>
        <w:t>万元的项目，补助技术交易金额的</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，补助额度不超过</w:t>
      </w:r>
      <w:r>
        <w:rPr>
          <w:rFonts w:hint="default" w:ascii="Times New Roman" w:hAnsi="Times New Roman" w:eastAsia="仿宋_GB2312" w:cs="Times New Roman"/>
          <w:b w:val="0"/>
          <w:bCs w:val="0"/>
          <w:color w:val="auto"/>
          <w:sz w:val="32"/>
          <w:szCs w:val="32"/>
          <w:lang w:val="en-US" w:eastAsia="zh-CN"/>
        </w:rPr>
        <w:t>300</w:t>
      </w:r>
      <w:r>
        <w:rPr>
          <w:rFonts w:hint="eastAsia" w:ascii="仿宋_GB2312" w:hAnsi="仿宋_GB2312" w:eastAsia="仿宋_GB2312" w:cs="仿宋_GB2312"/>
          <w:b w:val="0"/>
          <w:bCs w:val="0"/>
          <w:color w:val="auto"/>
          <w:sz w:val="32"/>
          <w:szCs w:val="32"/>
          <w:lang w:val="en-US" w:eastAsia="zh-CN"/>
        </w:rPr>
        <w:t>万元。</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Ⅲ类项目：购买科技成果进行产业化，实现年新增销售收入在</w:t>
      </w:r>
      <w:r>
        <w:rPr>
          <w:rFonts w:hint="default" w:ascii="Times New Roman" w:hAnsi="Times New Roman" w:eastAsia="仿宋_GB2312" w:cs="Times New Roman"/>
          <w:b w:val="0"/>
          <w:bCs w:val="0"/>
          <w:color w:val="auto"/>
          <w:sz w:val="32"/>
          <w:szCs w:val="32"/>
          <w:lang w:val="en-US" w:eastAsia="zh-CN"/>
        </w:rPr>
        <w:t>1000</w:t>
      </w:r>
      <w:r>
        <w:rPr>
          <w:rFonts w:hint="eastAsia" w:ascii="仿宋_GB2312" w:hAnsi="仿宋_GB2312" w:eastAsia="仿宋_GB2312" w:cs="仿宋_GB2312"/>
          <w:b w:val="0"/>
          <w:bCs w:val="0"/>
          <w:color w:val="auto"/>
          <w:sz w:val="32"/>
          <w:szCs w:val="32"/>
          <w:lang w:val="en-US" w:eastAsia="zh-CN"/>
        </w:rPr>
        <w:t xml:space="preserve">万元（含）以上的项目，补助技术交易金额的 </w:t>
      </w:r>
      <w:r>
        <w:rPr>
          <w:rFonts w:hint="default" w:ascii="Times New Roman" w:hAnsi="Times New Roman" w:eastAsia="仿宋_GB2312" w:cs="Times New Roman"/>
          <w:b w:val="0"/>
          <w:bCs w:val="0"/>
          <w:color w:val="auto"/>
          <w:sz w:val="32"/>
          <w:szCs w:val="32"/>
          <w:lang w:val="en-US" w:eastAsia="zh-CN"/>
        </w:rPr>
        <w:t>40%</w:t>
      </w:r>
      <w:r>
        <w:rPr>
          <w:rFonts w:hint="eastAsia" w:ascii="仿宋_GB2312" w:hAnsi="仿宋_GB2312" w:eastAsia="仿宋_GB2312" w:cs="仿宋_GB2312"/>
          <w:b w:val="0"/>
          <w:bCs w:val="0"/>
          <w:color w:val="auto"/>
          <w:sz w:val="32"/>
          <w:szCs w:val="32"/>
          <w:lang w:val="en-US" w:eastAsia="zh-CN"/>
        </w:rPr>
        <w:t xml:space="preserve">，补助额度不超过 </w:t>
      </w:r>
      <w:r>
        <w:rPr>
          <w:rFonts w:hint="default" w:ascii="Times New Roman" w:hAnsi="Times New Roman" w:eastAsia="仿宋_GB2312" w:cs="Times New Roman"/>
          <w:b w:val="0"/>
          <w:bCs w:val="0"/>
          <w:color w:val="auto"/>
          <w:sz w:val="32"/>
          <w:szCs w:val="32"/>
          <w:lang w:val="en-US" w:eastAsia="zh-CN"/>
        </w:rPr>
        <w:t>400</w:t>
      </w:r>
      <w:r>
        <w:rPr>
          <w:rFonts w:hint="eastAsia" w:ascii="仿宋_GB2312" w:hAnsi="仿宋_GB2312" w:eastAsia="仿宋_GB2312" w:cs="仿宋_GB2312"/>
          <w:b w:val="0"/>
          <w:bCs w:val="0"/>
          <w:color w:val="auto"/>
          <w:sz w:val="32"/>
          <w:szCs w:val="32"/>
          <w:lang w:val="en-US" w:eastAsia="zh-CN"/>
        </w:rPr>
        <w:t>万元。</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科技成果属于本办法第三条重点支持的项目，在原有补助基础上，可额外增加技术交易金额</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的补助，额外补助额度不超过</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万元，且总体补助额度不超过年新增销售收入。</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）属于关联交易的：</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Ⅰ类项目：购买科技成果进行产业化，实现年新增销售收入在</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万元以下的项目，补助年新增销售收入的</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Ⅱ类项目：购买科技成果进行产业化，实现年新增销售收入</w:t>
      </w:r>
      <w:r>
        <w:rPr>
          <w:rFonts w:hint="eastAsia" w:ascii="仿宋_GB2312" w:hAnsi="仿宋_GB2312" w:eastAsia="仿宋_GB2312" w:cs="仿宋_GB2312"/>
          <w:b w:val="0"/>
          <w:bCs w:val="0"/>
          <w:color w:val="auto"/>
          <w:spacing w:val="-6"/>
          <w:sz w:val="32"/>
          <w:szCs w:val="32"/>
          <w:lang w:val="en-US" w:eastAsia="zh-CN"/>
        </w:rPr>
        <w:t>在</w:t>
      </w:r>
      <w:r>
        <w:rPr>
          <w:rFonts w:hint="default" w:ascii="Times New Roman" w:hAnsi="Times New Roman" w:eastAsia="仿宋_GB2312" w:cs="Times New Roman"/>
          <w:b w:val="0"/>
          <w:bCs w:val="0"/>
          <w:color w:val="auto"/>
          <w:spacing w:val="-6"/>
          <w:sz w:val="32"/>
          <w:szCs w:val="32"/>
          <w:lang w:val="en-US" w:eastAsia="zh-CN"/>
        </w:rPr>
        <w:t>500</w:t>
      </w:r>
      <w:r>
        <w:rPr>
          <w:rFonts w:hint="eastAsia" w:ascii="仿宋_GB2312" w:hAnsi="仿宋_GB2312" w:eastAsia="仿宋_GB2312" w:cs="仿宋_GB2312"/>
          <w:b w:val="0"/>
          <w:bCs w:val="0"/>
          <w:color w:val="auto"/>
          <w:spacing w:val="-6"/>
          <w:sz w:val="32"/>
          <w:szCs w:val="32"/>
          <w:lang w:val="en-US" w:eastAsia="zh-CN"/>
        </w:rPr>
        <w:t>万元（含）至</w:t>
      </w:r>
      <w:r>
        <w:rPr>
          <w:rFonts w:hint="default" w:ascii="Times New Roman" w:hAnsi="Times New Roman" w:eastAsia="仿宋_GB2312" w:cs="Times New Roman"/>
          <w:b w:val="0"/>
          <w:bCs w:val="0"/>
          <w:color w:val="auto"/>
          <w:spacing w:val="-6"/>
          <w:sz w:val="32"/>
          <w:szCs w:val="32"/>
          <w:lang w:val="en-US" w:eastAsia="zh-CN"/>
        </w:rPr>
        <w:t>1000</w:t>
      </w:r>
      <w:r>
        <w:rPr>
          <w:rFonts w:hint="eastAsia" w:ascii="仿宋_GB2312" w:hAnsi="仿宋_GB2312" w:eastAsia="仿宋_GB2312" w:cs="仿宋_GB2312"/>
          <w:b w:val="0"/>
          <w:bCs w:val="0"/>
          <w:color w:val="auto"/>
          <w:spacing w:val="-6"/>
          <w:sz w:val="32"/>
          <w:szCs w:val="32"/>
          <w:lang w:val="en-US" w:eastAsia="zh-CN"/>
        </w:rPr>
        <w:t>万元的项目，补助年新增销售收入的</w:t>
      </w:r>
      <w:r>
        <w:rPr>
          <w:rFonts w:hint="default" w:ascii="Times New Roman" w:hAnsi="Times New Roman" w:eastAsia="仿宋_GB2312" w:cs="Times New Roman"/>
          <w:b w:val="0"/>
          <w:bCs w:val="0"/>
          <w:color w:val="auto"/>
          <w:spacing w:val="-6"/>
          <w:sz w:val="32"/>
          <w:szCs w:val="32"/>
          <w:lang w:val="en-US" w:eastAsia="zh-CN"/>
        </w:rPr>
        <w:t>3%</w:t>
      </w:r>
      <w:r>
        <w:rPr>
          <w:rFonts w:hint="eastAsia" w:ascii="仿宋_GB2312" w:hAnsi="仿宋_GB2312" w:eastAsia="仿宋_GB2312" w:cs="仿宋_GB2312"/>
          <w:b w:val="0"/>
          <w:bCs w:val="0"/>
          <w:color w:val="auto"/>
          <w:spacing w:val="-6"/>
          <w:sz w:val="32"/>
          <w:szCs w:val="32"/>
          <w:lang w:val="en-US" w:eastAsia="zh-CN"/>
        </w:rPr>
        <w:t>。</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Ⅲ类项目：购买科技成果进行产业化，实现年新增销售收入在</w:t>
      </w:r>
      <w:r>
        <w:rPr>
          <w:rFonts w:hint="default" w:ascii="Times New Roman" w:hAnsi="Times New Roman" w:eastAsia="仿宋_GB2312" w:cs="Times New Roman"/>
          <w:b w:val="0"/>
          <w:bCs w:val="0"/>
          <w:color w:val="auto"/>
          <w:sz w:val="32"/>
          <w:szCs w:val="32"/>
          <w:lang w:val="en-US" w:eastAsia="zh-CN"/>
        </w:rPr>
        <w:t>1000</w:t>
      </w:r>
      <w:r>
        <w:rPr>
          <w:rFonts w:hint="eastAsia" w:ascii="仿宋_GB2312" w:hAnsi="仿宋_GB2312" w:eastAsia="仿宋_GB2312" w:cs="仿宋_GB2312"/>
          <w:b w:val="0"/>
          <w:bCs w:val="0"/>
          <w:color w:val="auto"/>
          <w:sz w:val="32"/>
          <w:szCs w:val="32"/>
          <w:lang w:val="en-US" w:eastAsia="zh-CN"/>
        </w:rPr>
        <w:t>万元（含）以上的项目，补助年新增销售收入的</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，补助额度不超过</w:t>
      </w:r>
      <w:r>
        <w:rPr>
          <w:rFonts w:hint="default" w:ascii="Times New Roman" w:hAnsi="Times New Roman" w:eastAsia="仿宋_GB2312" w:cs="Times New Roman"/>
          <w:b w:val="0"/>
          <w:bCs w:val="0"/>
          <w:color w:val="auto"/>
          <w:sz w:val="32"/>
          <w:szCs w:val="32"/>
          <w:lang w:val="en-US" w:eastAsia="zh-CN"/>
        </w:rPr>
        <w:t>400</w:t>
      </w:r>
      <w:r>
        <w:rPr>
          <w:rFonts w:hint="eastAsia" w:ascii="仿宋_GB2312" w:hAnsi="仿宋_GB2312" w:eastAsia="仿宋_GB2312" w:cs="仿宋_GB2312"/>
          <w:b w:val="0"/>
          <w:bCs w:val="0"/>
          <w:color w:val="auto"/>
          <w:sz w:val="32"/>
          <w:szCs w:val="32"/>
          <w:lang w:val="en-US" w:eastAsia="zh-CN"/>
        </w:rPr>
        <w:t>万元。</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科技成果属于本办法第三条重点支持的项目，在原有补助基础上，可额外增加年新增销售收入的</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的补助，额外补助额度不超过</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）已获得前一类项目支持的科技成果，可再申报后一类项目，但只补助差额部分。</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）对于个别特别重大的购买科技成果转化项目，经企业另行提出书面申请，其补助额度由自治区科技计划管理厅际联席会议组织提出，报自治区人民政府审定。</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《广西壮族自治区科学技术厅 广西壮族自治区财政厅关于印发广西企业购买科技成果转化后补助管理办法的通知》（桂科规字〔</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.企业科技成果转化项目后补助。</w:t>
      </w:r>
      <w:r>
        <w:rPr>
          <w:rFonts w:hint="eastAsia" w:ascii="仿宋_GB2312" w:hAnsi="仿宋_GB2312" w:eastAsia="仿宋_GB2312" w:cs="仿宋_GB2312"/>
          <w:b w:val="0"/>
          <w:bCs w:val="0"/>
          <w:color w:val="auto"/>
          <w:sz w:val="32"/>
          <w:szCs w:val="32"/>
          <w:lang w:val="en-US" w:eastAsia="zh-CN"/>
        </w:rPr>
        <w:t>玉林市科技成果转化项目后补助，是对企业购买、自有和招商引资科技成果，实现经济效益的三种类型项目进行补助。补助标准：（</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）购买科技成果并实现转化①实现年新增销售收入在</w:t>
      </w:r>
      <w:r>
        <w:rPr>
          <w:rFonts w:hint="default" w:ascii="Times New Roman" w:hAnsi="Times New Roman" w:eastAsia="仿宋_GB2312" w:cs="Times New Roman"/>
          <w:b w:val="0"/>
          <w:bCs w:val="0"/>
          <w:color w:val="auto"/>
          <w:sz w:val="32"/>
          <w:szCs w:val="32"/>
          <w:lang w:val="en-US" w:eastAsia="zh-CN"/>
        </w:rPr>
        <w:t>200</w:t>
      </w:r>
      <w:r>
        <w:rPr>
          <w:rFonts w:hint="eastAsia" w:ascii="仿宋_GB2312" w:hAnsi="仿宋_GB2312" w:eastAsia="仿宋_GB2312" w:cs="仿宋_GB2312"/>
          <w:b w:val="0"/>
          <w:bCs w:val="0"/>
          <w:color w:val="auto"/>
          <w:sz w:val="32"/>
          <w:szCs w:val="32"/>
          <w:lang w:val="en-US" w:eastAsia="zh-CN"/>
        </w:rPr>
        <w:t>万元（含）至</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万元的项目，补助技术交易金额的</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，补助额度不超过</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万元。②实现年新增销售收入在</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万元（含）以上的项目，补助技术交易金额的</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，补助额度不超过</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万元。（</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）自有科技成果实现转化：补助</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）招商引资科技成果实现转化：补助</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万元。一年内支持单个企业的补助总额不超过</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万元。在科技成果转化过程中，已获得各级财政资助的科技成果转化项目，不能再重复申报。</w:t>
      </w:r>
      <w:r>
        <w:rPr>
          <w:rFonts w:hint="eastAsia" w:ascii="仿宋_GB2312" w:hAnsi="仿宋_GB2312" w:eastAsia="仿宋_GB2312" w:cs="仿宋_GB2312"/>
          <w:b/>
          <w:bCs/>
          <w:color w:val="auto"/>
          <w:sz w:val="32"/>
          <w:szCs w:val="32"/>
          <w:lang w:val="en-US" w:eastAsia="zh-CN"/>
        </w:rPr>
        <w:t>《玉林市科学技术局  玉林市财政局关于印发玉林市企业科技成果转化项目后补助暂行办法的通知》（玉政办函〔</w:t>
      </w:r>
      <w:r>
        <w:rPr>
          <w:rFonts w:hint="default" w:ascii="Times New Roman" w:hAnsi="Times New Roman" w:eastAsia="仿宋_GB2312" w:cs="Times New Roman"/>
          <w:b/>
          <w:bCs/>
          <w:color w:val="auto"/>
          <w:sz w:val="32"/>
          <w:szCs w:val="32"/>
          <w:lang w:val="en-US" w:eastAsia="zh-CN"/>
        </w:rPr>
        <w:t>2022</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41</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.科创飞地项目奖励。</w:t>
      </w:r>
      <w:r>
        <w:rPr>
          <w:rFonts w:hint="eastAsia" w:ascii="仿宋_GB2312" w:hAnsi="仿宋_GB2312" w:eastAsia="仿宋_GB2312" w:cs="仿宋_GB2312"/>
          <w:b w:val="0"/>
          <w:bCs w:val="0"/>
          <w:color w:val="auto"/>
          <w:sz w:val="32"/>
          <w:szCs w:val="32"/>
          <w:lang w:val="en-US" w:eastAsia="zh-CN"/>
        </w:rPr>
        <w:t>开展科创飞地备案工作，备案后给予科创飞地项目支持，定期对科创飞地的建设情况及项目招引、服务、进展、落地情况等进行考核评价，绩效优秀的给予奖励。对建设资金投入较大，或者项目孵化、人才引进、重大成果及产业落地转移等方面成效特别突出的，可实行“一事一议”给予支持。各部门将产业、财税、投融资、科技、人才等各类政策延伸覆盖到科创飞地，入驻企业按有关规定同等享受相关扶持政策。各市结合本地区实际，研究制定科创飞地扶持政策。</w:t>
      </w:r>
      <w:r>
        <w:rPr>
          <w:rFonts w:hint="eastAsia" w:ascii="仿宋_GB2312" w:hAnsi="仿宋_GB2312" w:eastAsia="仿宋_GB2312" w:cs="仿宋_GB2312"/>
          <w:b/>
          <w:bCs/>
          <w:color w:val="auto"/>
          <w:sz w:val="32"/>
          <w:szCs w:val="32"/>
          <w:lang w:val="en-US" w:eastAsia="zh-CN"/>
        </w:rPr>
        <w:t>《自治区科技厅等</w:t>
      </w:r>
      <w:r>
        <w:rPr>
          <w:rFonts w:hint="default"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部门印发关于促进广西科创飞地高质量发展的指导意见的通知》（桂科发〔</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193</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.科创飞地项目财政支持。</w:t>
      </w:r>
      <w:r>
        <w:rPr>
          <w:rFonts w:hint="eastAsia" w:ascii="仿宋_GB2312" w:hAnsi="仿宋_GB2312" w:eastAsia="仿宋_GB2312" w:cs="仿宋_GB2312"/>
          <w:b w:val="0"/>
          <w:bCs w:val="0"/>
          <w:color w:val="auto"/>
          <w:sz w:val="32"/>
          <w:szCs w:val="32"/>
          <w:lang w:val="en-US" w:eastAsia="zh-CN"/>
        </w:rPr>
        <w:t>获得备案的科创飞地，自治区财政给予项目支持，其中研发类飞地、孵化类飞地支持经费不超过</w:t>
      </w:r>
      <w:r>
        <w:rPr>
          <w:rFonts w:hint="default" w:ascii="Times New Roman" w:hAnsi="Times New Roman" w:eastAsia="仿宋_GB2312" w:cs="Times New Roman"/>
          <w:b w:val="0"/>
          <w:bCs w:val="0"/>
          <w:color w:val="auto"/>
          <w:sz w:val="32"/>
          <w:szCs w:val="32"/>
          <w:lang w:val="en-US" w:eastAsia="zh-CN"/>
        </w:rPr>
        <w:t>200</w:t>
      </w:r>
      <w:r>
        <w:rPr>
          <w:rFonts w:hint="eastAsia" w:ascii="仿宋_GB2312" w:hAnsi="仿宋_GB2312" w:eastAsia="仿宋_GB2312" w:cs="仿宋_GB2312"/>
          <w:b w:val="0"/>
          <w:bCs w:val="0"/>
          <w:color w:val="auto"/>
          <w:sz w:val="32"/>
          <w:szCs w:val="32"/>
          <w:lang w:val="en-US" w:eastAsia="zh-CN"/>
        </w:rPr>
        <w:t>万元，综合类飞地支持经费不超过</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万元。对科创飞地建设资金投入较大，或项目孵化、人才引进、重大成果及产业落地转移等方面成效特别突出的，可实行“一事一议”给予支持。运行期科创飞地实行每三年度考核机制，考核工作委托第三方机构组织开展。考核为合格的科创飞地可以享受有关支持政策。考核为优秀的按照引进落户广西的项目成效情况予以支持。</w:t>
      </w:r>
      <w:r>
        <w:rPr>
          <w:rFonts w:hint="eastAsia" w:ascii="仿宋_GB2312" w:hAnsi="仿宋_GB2312" w:eastAsia="仿宋_GB2312" w:cs="仿宋_GB2312"/>
          <w:b/>
          <w:bCs/>
          <w:color w:val="auto"/>
          <w:sz w:val="32"/>
          <w:szCs w:val="32"/>
          <w:lang w:val="en-US" w:eastAsia="zh-CN"/>
        </w:rPr>
        <w:t>《自治区科技厅关于印发广西壮族自治区科创飞地备案管理办法（试行）的通知》（桂科规字〔</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.科学技术奖励。</w:t>
      </w:r>
      <w:r>
        <w:rPr>
          <w:rFonts w:hint="eastAsia" w:ascii="仿宋_GB2312" w:hAnsi="仿宋_GB2312" w:eastAsia="仿宋_GB2312" w:cs="仿宋_GB2312"/>
          <w:b w:val="0"/>
          <w:bCs w:val="0"/>
          <w:color w:val="auto"/>
          <w:sz w:val="32"/>
          <w:szCs w:val="32"/>
          <w:lang w:val="en-US" w:eastAsia="zh-CN"/>
        </w:rPr>
        <w:t>自治区党委、自治区人民政府适时公布广西科学技术奖奖励结果，并向获奖者颁奖。（</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）向最高科学技术奖获奖者颁发奖章、证书和奖金</w:t>
      </w:r>
      <w:r>
        <w:rPr>
          <w:rFonts w:hint="default" w:ascii="Times New Roman" w:hAnsi="Times New Roman" w:eastAsia="仿宋_GB2312" w:cs="Times New Roman"/>
          <w:b w:val="0"/>
          <w:bCs w:val="0"/>
          <w:color w:val="auto"/>
          <w:sz w:val="32"/>
          <w:szCs w:val="32"/>
          <w:lang w:val="en-US" w:eastAsia="zh-CN"/>
        </w:rPr>
        <w:t>200</w:t>
      </w:r>
      <w:r>
        <w:rPr>
          <w:rFonts w:hint="eastAsia" w:ascii="仿宋_GB2312" w:hAnsi="仿宋_GB2312" w:eastAsia="仿宋_GB2312" w:cs="仿宋_GB2312"/>
          <w:b w:val="0"/>
          <w:bCs w:val="0"/>
          <w:color w:val="auto"/>
          <w:sz w:val="32"/>
          <w:szCs w:val="32"/>
          <w:lang w:val="en-US" w:eastAsia="zh-CN"/>
        </w:rPr>
        <w:t>万元；（</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）向青年科技奖获奖者颁发证书和奖金，奖金数额分别为青年科技杰出贡献奖</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万元、青年科技奖</w:t>
      </w:r>
      <w:r>
        <w:rPr>
          <w:rFonts w:hint="default" w:ascii="Times New Roman" w:hAnsi="Times New Roman" w:eastAsia="仿宋_GB2312" w:cs="Times New Roman"/>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万元;（</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）向三大奖获奖者颁发证书和奖金，奖金数额分别为特等奖</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万元、一等奖</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万元、二等奖</w:t>
      </w:r>
      <w:r>
        <w:rPr>
          <w:rFonts w:hint="default" w:ascii="Times New Roman" w:hAnsi="Times New Roman" w:eastAsia="仿宋_GB2312" w:cs="Times New Roman"/>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万元、三等奖</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万元;（</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）向科技成果转化合作奖获奖者颁发证书和奖金</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万元（</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）向企业科技创新奖获奖者颁发证书和奖金</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）向国际科学技术合作奖获奖者颁发证书。广西科学技术奖奖金由获奖组织、个人按贡献大小分配，任何组织和个人不得截留和挪用。</w:t>
      </w:r>
      <w:r>
        <w:rPr>
          <w:rFonts w:hint="eastAsia" w:ascii="仿宋_GB2312" w:hAnsi="仿宋_GB2312" w:eastAsia="仿宋_GB2312" w:cs="仿宋_GB2312"/>
          <w:b/>
          <w:bCs/>
          <w:color w:val="auto"/>
          <w:sz w:val="32"/>
          <w:szCs w:val="32"/>
          <w:lang w:val="en-US" w:eastAsia="zh-CN"/>
        </w:rPr>
        <w:t>《广西壮族自治区人民政府关于印发广西科学技术奖励办法的通知》 （桂政发〔</w:t>
      </w:r>
      <w:r>
        <w:rPr>
          <w:rFonts w:hint="default" w:ascii="Times New Roman" w:hAnsi="Times New Roman" w:eastAsia="仿宋_GB2312" w:cs="Times New Roman"/>
          <w:b/>
          <w:bCs/>
          <w:color w:val="auto"/>
          <w:sz w:val="32"/>
          <w:szCs w:val="32"/>
          <w:lang w:val="en-US" w:eastAsia="zh-CN"/>
        </w:rPr>
        <w:t>2025</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pacing w:val="-6"/>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.独角兽企业奖励。</w:t>
      </w:r>
      <w:r>
        <w:rPr>
          <w:rFonts w:hint="eastAsia" w:ascii="仿宋_GB2312" w:hAnsi="仿宋_GB2312" w:eastAsia="仿宋_GB2312" w:cs="仿宋_GB2312"/>
          <w:b w:val="0"/>
          <w:bCs w:val="0"/>
          <w:color w:val="auto"/>
          <w:sz w:val="32"/>
          <w:szCs w:val="32"/>
          <w:lang w:val="en-US" w:eastAsia="zh-CN"/>
        </w:rPr>
        <w:t>对经开区内首次进入独角兽企业培育</w:t>
      </w:r>
      <w:r>
        <w:rPr>
          <w:rFonts w:hint="eastAsia" w:ascii="仿宋_GB2312" w:hAnsi="仿宋_GB2312" w:eastAsia="仿宋_GB2312" w:cs="仿宋_GB2312"/>
          <w:b w:val="0"/>
          <w:bCs w:val="0"/>
          <w:color w:val="auto"/>
          <w:spacing w:val="-6"/>
          <w:sz w:val="32"/>
          <w:szCs w:val="32"/>
          <w:lang w:val="en-US" w:eastAsia="zh-CN"/>
        </w:rPr>
        <w:t>库的企业,每家给予</w:t>
      </w:r>
      <w:r>
        <w:rPr>
          <w:rFonts w:hint="default" w:ascii="Times New Roman" w:hAnsi="Times New Roman" w:eastAsia="仿宋_GB2312" w:cs="Times New Roman"/>
          <w:b w:val="0"/>
          <w:bCs w:val="0"/>
          <w:color w:val="auto"/>
          <w:spacing w:val="-6"/>
          <w:sz w:val="32"/>
          <w:szCs w:val="32"/>
          <w:lang w:val="en-US" w:eastAsia="zh-CN"/>
        </w:rPr>
        <w:t>100</w:t>
      </w:r>
      <w:r>
        <w:rPr>
          <w:rFonts w:hint="eastAsia" w:ascii="仿宋_GB2312" w:hAnsi="仿宋_GB2312" w:eastAsia="仿宋_GB2312" w:cs="仿宋_GB2312"/>
          <w:b w:val="0"/>
          <w:bCs w:val="0"/>
          <w:color w:val="auto"/>
          <w:spacing w:val="-6"/>
          <w:sz w:val="32"/>
          <w:szCs w:val="32"/>
          <w:lang w:val="en-US" w:eastAsia="zh-CN"/>
        </w:rPr>
        <w:t>万元财政资金前资助;对进入专业机构发布的独角兽企业榜单的企业，每家给予</w:t>
      </w:r>
      <w:r>
        <w:rPr>
          <w:rFonts w:hint="default" w:ascii="Times New Roman" w:hAnsi="Times New Roman" w:eastAsia="仿宋_GB2312" w:cs="Times New Roman"/>
          <w:b w:val="0"/>
          <w:bCs w:val="0"/>
          <w:color w:val="auto"/>
          <w:spacing w:val="-6"/>
          <w:sz w:val="32"/>
          <w:szCs w:val="32"/>
          <w:lang w:val="en-US" w:eastAsia="zh-CN"/>
        </w:rPr>
        <w:t>400</w:t>
      </w:r>
      <w:r>
        <w:rPr>
          <w:rFonts w:hint="eastAsia" w:ascii="仿宋_GB2312" w:hAnsi="仿宋_GB2312" w:eastAsia="仿宋_GB2312" w:cs="仿宋_GB2312"/>
          <w:b w:val="0"/>
          <w:bCs w:val="0"/>
          <w:color w:val="auto"/>
          <w:spacing w:val="-6"/>
          <w:sz w:val="32"/>
          <w:szCs w:val="32"/>
          <w:lang w:val="en-US" w:eastAsia="zh-CN"/>
        </w:rPr>
        <w:t>万元财政资金后补助。</w:t>
      </w:r>
      <w:r>
        <w:rPr>
          <w:rFonts w:hint="eastAsia" w:ascii="仿宋_GB2312" w:hAnsi="仿宋_GB2312" w:eastAsia="仿宋_GB2312" w:cs="仿宋_GB2312"/>
          <w:b/>
          <w:bCs/>
          <w:color w:val="auto"/>
          <w:spacing w:val="-6"/>
          <w:sz w:val="32"/>
          <w:szCs w:val="32"/>
          <w:lang w:val="en-US" w:eastAsia="zh-CN"/>
        </w:rPr>
        <w:t>《广西壮族自治区人民政府办公厅关于印发加快推进广西经济技术开发区改革提升行动方案的通知》（桂政办发〔</w:t>
      </w:r>
      <w:r>
        <w:rPr>
          <w:rFonts w:hint="default" w:ascii="Times New Roman" w:hAnsi="Times New Roman" w:eastAsia="仿宋_GB2312" w:cs="Times New Roman"/>
          <w:b/>
          <w:bCs/>
          <w:color w:val="auto"/>
          <w:spacing w:val="-6"/>
          <w:sz w:val="32"/>
          <w:szCs w:val="32"/>
          <w:lang w:val="en-US" w:eastAsia="zh-CN"/>
        </w:rPr>
        <w:t>2021</w:t>
      </w:r>
      <w:r>
        <w:rPr>
          <w:rFonts w:hint="eastAsia" w:ascii="仿宋_GB2312" w:hAnsi="仿宋_GB2312" w:eastAsia="仿宋_GB2312" w:cs="仿宋_GB2312"/>
          <w:b/>
          <w:bCs/>
          <w:color w:val="auto"/>
          <w:spacing w:val="-6"/>
          <w:sz w:val="32"/>
          <w:szCs w:val="32"/>
          <w:lang w:val="en-US" w:eastAsia="zh-CN"/>
        </w:rPr>
        <w:t>〕</w:t>
      </w:r>
      <w:r>
        <w:rPr>
          <w:rFonts w:hint="default" w:ascii="Times New Roman" w:hAnsi="Times New Roman" w:eastAsia="仿宋_GB2312" w:cs="Times New Roman"/>
          <w:b/>
          <w:bCs/>
          <w:color w:val="auto"/>
          <w:spacing w:val="-6"/>
          <w:sz w:val="32"/>
          <w:szCs w:val="32"/>
          <w:lang w:val="en-US" w:eastAsia="zh-CN"/>
        </w:rPr>
        <w:t>101</w:t>
      </w:r>
      <w:r>
        <w:rPr>
          <w:rFonts w:hint="eastAsia" w:ascii="仿宋_GB2312" w:hAnsi="仿宋_GB2312" w:eastAsia="仿宋_GB2312" w:cs="仿宋_GB2312"/>
          <w:b/>
          <w:bCs/>
          <w:color w:val="auto"/>
          <w:spacing w:val="-6"/>
          <w:sz w:val="32"/>
          <w:szCs w:val="32"/>
          <w:lang w:val="en-US" w:eastAsia="zh-CN"/>
        </w:rPr>
        <w:t>号）</w:t>
      </w:r>
    </w:p>
    <w:p>
      <w:pPr>
        <w:pStyle w:val="2"/>
        <w:rPr>
          <w:rFonts w:hint="eastAsia" w:ascii="仿宋_GB2312" w:hAnsi="仿宋_GB2312" w:eastAsia="仿宋_GB2312" w:cs="仿宋_GB2312"/>
          <w:b/>
          <w:bCs/>
          <w:color w:val="auto"/>
          <w:spacing w:val="-6"/>
          <w:sz w:val="32"/>
          <w:szCs w:val="32"/>
          <w:lang w:val="en-US" w:eastAsia="zh-CN"/>
        </w:rPr>
      </w:pPr>
    </w:p>
    <w:p>
      <w:pPr>
        <w:pStyle w:val="2"/>
        <w:ind w:firstLine="8659" w:firstLineChars="2800"/>
        <w:rPr>
          <w:rFonts w:hint="eastAsia" w:ascii="仿宋_GB2312" w:hAnsi="仿宋_GB2312" w:eastAsia="仿宋_GB2312" w:cs="仿宋_GB2312"/>
          <w:b/>
          <w:bCs/>
          <w:color w:val="auto"/>
          <w:spacing w:val="-6"/>
          <w:sz w:val="32"/>
          <w:szCs w:val="32"/>
          <w:lang w:val="en-US" w:eastAsia="zh-CN"/>
        </w:rPr>
      </w:pPr>
    </w:p>
    <w:p>
      <w:pPr>
        <w:pStyle w:val="2"/>
        <w:spacing w:line="240" w:lineRule="auto"/>
        <w:ind w:firstLine="0" w:firstLineChars="0"/>
        <w:rPr>
          <w:rFonts w:hint="eastAsia" w:ascii="仿宋_GB2312" w:hAnsi="仿宋_GB2312" w:eastAsia="仿宋_GB2312" w:cs="仿宋_GB2312"/>
          <w:b/>
          <w:bCs/>
          <w:color w:val="auto"/>
          <w:spacing w:val="0"/>
          <w:kern w:val="2"/>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.人工智能与实体经济深度融合应用项目</w:t>
      </w:r>
      <w:r>
        <w:rPr>
          <w:rFonts w:hint="eastAsia" w:ascii="仿宋_GB2312" w:hAnsi="仿宋_GB2312" w:eastAsia="仿宋_GB2312" w:cs="仿宋_GB2312"/>
          <w:b/>
          <w:bCs/>
          <w:color w:val="auto"/>
          <w:spacing w:val="0"/>
          <w:kern w:val="2"/>
          <w:sz w:val="32"/>
          <w:szCs w:val="32"/>
          <w:lang w:val="en-US" w:eastAsia="zh-CN"/>
        </w:rPr>
        <w:t>补助</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pacing w:val="0"/>
          <w:kern w:val="2"/>
          <w:sz w:val="32"/>
          <w:szCs w:val="32"/>
          <w:lang w:val="en-US" w:eastAsia="zh-CN"/>
        </w:rPr>
        <w:t>对列入支持计划的项目，统筹自治区新型工业化领域资金给予一次性财政无偿补助50万元。同一项目已通过其他渠道获得自治区级财政性资金支持的，不再予以补助。</w:t>
      </w:r>
      <w:r>
        <w:rPr>
          <w:rFonts w:hint="eastAsia" w:ascii="仿宋_GB2312" w:hAnsi="仿宋_GB2312" w:eastAsia="仿宋_GB2312" w:cs="仿宋_GB2312"/>
          <w:b/>
          <w:bCs/>
          <w:color w:val="auto"/>
          <w:spacing w:val="0"/>
          <w:kern w:val="2"/>
          <w:sz w:val="32"/>
          <w:szCs w:val="32"/>
          <w:lang w:val="en-US" w:eastAsia="zh-CN"/>
        </w:rPr>
        <w:t>《自治区工业和信息化厅 自治区财政厅关于组织申报2025年自治区新型工业化领域资金(人工智能与实体经济深度融合应用项目)的通知》（桂工信科新〔2024〕1019号）</w:t>
      </w:r>
    </w:p>
    <w:p>
      <w:pPr>
        <w:pStyle w:val="2"/>
        <w:numPr>
          <w:ilvl w:val="0"/>
          <w:numId w:val="0"/>
        </w:numPr>
        <w:spacing w:line="240" w:lineRule="auto"/>
        <w:rPr>
          <w:rFonts w:hint="default" w:ascii="仿宋_GB2312" w:hAnsi="仿宋_GB2312" w:eastAsia="仿宋_GB2312" w:cs="仿宋_GB2312"/>
          <w:b/>
          <w:bCs/>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37.软件开发和应用示范项目补助。</w:t>
      </w:r>
      <w:r>
        <w:rPr>
          <w:rFonts w:hint="eastAsia" w:ascii="仿宋_GB2312" w:hAnsi="仿宋_GB2312" w:eastAsia="仿宋_GB2312" w:cs="仿宋_GB2312"/>
          <w:b w:val="0"/>
          <w:bCs w:val="0"/>
          <w:color w:val="auto"/>
          <w:spacing w:val="0"/>
          <w:kern w:val="2"/>
          <w:sz w:val="32"/>
          <w:szCs w:val="32"/>
          <w:lang w:val="en-US" w:eastAsia="zh-CN"/>
        </w:rPr>
        <w:t>支持符合国家、自治区软件和信息技术服务业发展导向，技术含量较高，创新性较强的软件开发和应用示范项目。自治区本级财政按照不超过项目总投资额15%的比例，给予最高不超过200万元的补助。</w:t>
      </w:r>
      <w:r>
        <w:rPr>
          <w:rFonts w:hint="eastAsia" w:ascii="仿宋_GB2312" w:hAnsi="仿宋_GB2312" w:eastAsia="仿宋_GB2312" w:cs="仿宋_GB2312"/>
          <w:b/>
          <w:bCs/>
          <w:color w:val="auto"/>
          <w:spacing w:val="0"/>
          <w:kern w:val="2"/>
          <w:sz w:val="32"/>
          <w:szCs w:val="32"/>
          <w:lang w:val="en-US" w:eastAsia="zh-CN"/>
        </w:rPr>
        <w:t>《自治区工业和信息化厅自治区财政厅关于组织申报2025年自治区工业振兴资金软件和信息技术服务业项目)的通知》（桂工信信发〔2025〕11号）</w:t>
      </w:r>
    </w:p>
    <w:p>
      <w:pPr>
        <w:pStyle w:val="2"/>
        <w:numPr>
          <w:ilvl w:val="0"/>
          <w:numId w:val="0"/>
        </w:numPr>
        <w:spacing w:line="240" w:lineRule="auto"/>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38.突破关键核心技术产业化项目补助。</w:t>
      </w:r>
      <w:r>
        <w:rPr>
          <w:rFonts w:hint="eastAsia" w:ascii="仿宋_GB2312" w:hAnsi="仿宋_GB2312" w:eastAsia="仿宋_GB2312" w:cs="仿宋_GB2312"/>
          <w:b w:val="0"/>
          <w:bCs w:val="0"/>
          <w:color w:val="auto"/>
          <w:spacing w:val="0"/>
          <w:kern w:val="2"/>
          <w:sz w:val="32"/>
          <w:szCs w:val="32"/>
          <w:lang w:val="en-US" w:eastAsia="zh-CN"/>
        </w:rPr>
        <w:t>对突破关键核心技术产业化项目，按照单个项目固定资产投资总额(不含土地费用)不超过15%的比例给予资金支持，原则上单个项目支持额度最高不超过2000万元。</w:t>
      </w:r>
      <w:r>
        <w:rPr>
          <w:rFonts w:hint="eastAsia" w:ascii="仿宋_GB2312" w:hAnsi="仿宋_GB2312" w:eastAsia="仿宋_GB2312" w:cs="仿宋_GB2312"/>
          <w:b/>
          <w:bCs/>
          <w:color w:val="auto"/>
          <w:spacing w:val="0"/>
          <w:kern w:val="2"/>
          <w:sz w:val="32"/>
          <w:szCs w:val="32"/>
          <w:lang w:val="en-US" w:eastAsia="zh-CN"/>
        </w:rPr>
        <w:t>《自治区工业和信息化厅自治区财政厅关于组织申报 2025 年自治区新型工业化领域资金(突破关键核心技术产业化项目)的通知》(桂工信科新〔2024〕985号)</w:t>
      </w:r>
    </w:p>
    <w:p>
      <w:pPr>
        <w:pStyle w:val="2"/>
        <w:numPr>
          <w:ilvl w:val="0"/>
          <w:numId w:val="0"/>
        </w:numPr>
        <w:spacing w:line="240" w:lineRule="auto"/>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39.新兴产业培育项目。</w:t>
      </w:r>
      <w:r>
        <w:rPr>
          <w:rFonts w:hint="eastAsia" w:ascii="仿宋_GB2312" w:hAnsi="仿宋_GB2312" w:eastAsia="仿宋_GB2312" w:cs="仿宋_GB2312"/>
          <w:b w:val="0"/>
          <w:bCs w:val="0"/>
          <w:color w:val="auto"/>
          <w:spacing w:val="0"/>
          <w:kern w:val="2"/>
          <w:sz w:val="32"/>
          <w:szCs w:val="32"/>
          <w:lang w:val="en-US" w:eastAsia="zh-CN"/>
        </w:rPr>
        <w:t>按照单个项目固定资产投资总额(不含土地费用)不超过15%的比例给予资金支持，原则上单个项目支持额度最高不超过2000万元。</w:t>
      </w:r>
      <w:r>
        <w:rPr>
          <w:rFonts w:hint="eastAsia" w:ascii="仿宋_GB2312" w:hAnsi="仿宋_GB2312" w:eastAsia="仿宋_GB2312" w:cs="仿宋_GB2312"/>
          <w:b/>
          <w:bCs/>
          <w:color w:val="auto"/>
          <w:spacing w:val="0"/>
          <w:kern w:val="2"/>
          <w:sz w:val="32"/>
          <w:szCs w:val="32"/>
          <w:lang w:val="en-US" w:eastAsia="zh-CN"/>
        </w:rPr>
        <w:t>《自治区工业和信息化厅 自治区财政厅关于组织申报 2025年自治区新型工业化领域资金(新兴产业培育项目)的通知》（桂工信科新〔2024〕995号）</w:t>
      </w:r>
    </w:p>
    <w:p>
      <w:pPr>
        <w:pStyle w:val="2"/>
        <w:numPr>
          <w:ilvl w:val="0"/>
          <w:numId w:val="0"/>
        </w:numPr>
        <w:spacing w:line="560" w:lineRule="exact"/>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40.支持数字基础设施建设</w:t>
      </w:r>
    </w:p>
    <w:p>
      <w:pPr>
        <w:pStyle w:val="2"/>
        <w:numPr>
          <w:ilvl w:val="0"/>
          <w:numId w:val="0"/>
        </w:numPr>
        <w:spacing w:line="560" w:lineRule="exact"/>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（1）企业内外网改造升级。</w:t>
      </w:r>
      <w:r>
        <w:rPr>
          <w:rFonts w:hint="eastAsia" w:ascii="仿宋_GB2312" w:hAnsi="仿宋_GB2312" w:eastAsia="仿宋_GB2312" w:cs="仿宋_GB2312"/>
          <w:b w:val="0"/>
          <w:bCs w:val="0"/>
          <w:color w:val="auto"/>
          <w:spacing w:val="0"/>
          <w:kern w:val="2"/>
          <w:sz w:val="32"/>
          <w:szCs w:val="32"/>
          <w:lang w:val="en-US" w:eastAsia="zh-CN"/>
        </w:rPr>
        <w:t>支持以 IPv6（互联网协议第 6版）、工业 PON（无源光网络）、5G（第五代移动通信）、物联网等技术改造升级企业网络，为工业企业产业数字化提供基础设施支撑。每年支持一批网络改造良好的企业，按照不超过项目总投资额 15%的比例，给予每个企业最高不超过 200 万元的补助。</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（2）标识解析节点建设与应用。</w:t>
      </w:r>
      <w:r>
        <w:rPr>
          <w:rFonts w:hint="eastAsia" w:ascii="仿宋_GB2312" w:hAnsi="仿宋_GB2312" w:eastAsia="仿宋_GB2312" w:cs="仿宋_GB2312"/>
          <w:b w:val="0"/>
          <w:bCs w:val="0"/>
          <w:color w:val="auto"/>
          <w:spacing w:val="0"/>
          <w:kern w:val="2"/>
          <w:sz w:val="32"/>
          <w:szCs w:val="32"/>
          <w:lang w:val="en-US" w:eastAsia="zh-CN"/>
        </w:rPr>
        <w:t>支持建设国家工业互联网标识解析二级节点，对区内开展建设的工业互联网标识解析二级节点项目，按照不超过项目总投资额 30%的比例，给予最高不超过 500 万元的补助。引导企业接入二级节点、开展标识解析应用，提升产品质量追溯、供应链管理、产品全生命周期管理等能力水平。</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（3）支持工业互联网安全体系建设。</w:t>
      </w:r>
      <w:r>
        <w:rPr>
          <w:rFonts w:hint="eastAsia" w:ascii="仿宋_GB2312" w:hAnsi="仿宋_GB2312" w:eastAsia="仿宋_GB2312" w:cs="仿宋_GB2312"/>
          <w:b w:val="0"/>
          <w:bCs w:val="0"/>
          <w:color w:val="auto"/>
          <w:spacing w:val="0"/>
          <w:kern w:val="2"/>
          <w:sz w:val="32"/>
          <w:szCs w:val="32"/>
          <w:lang w:val="en-US" w:eastAsia="zh-CN"/>
        </w:rPr>
        <w:t>鼓励工业互联网平台商及云服务商、工业企业落实企业主体责任，利用商用密码、区块链等技术完善网络安全体系，提升企业安全防护能力。鼓励工业企业建立企业级安全监测平台，开展安全领域试点示范应用，鼓励与广西工业互联网安全态势感知平台等开展对接，对接入广西工业互联网安全监测和态势感知平台等的企业平台，按照不超过项目总投资 30%的比例，给予最高不超过 200 万元的补助。</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（4）“星火·链网”（区块链）建设与应用。</w:t>
      </w:r>
      <w:r>
        <w:rPr>
          <w:rFonts w:hint="eastAsia" w:ascii="仿宋_GB2312" w:hAnsi="仿宋_GB2312" w:eastAsia="仿宋_GB2312" w:cs="仿宋_GB2312"/>
          <w:b w:val="0"/>
          <w:bCs w:val="0"/>
          <w:color w:val="auto"/>
          <w:spacing w:val="0"/>
          <w:kern w:val="2"/>
          <w:sz w:val="32"/>
          <w:szCs w:val="32"/>
          <w:lang w:val="en-US" w:eastAsia="zh-CN"/>
        </w:rPr>
        <w:t>对区内开展建</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设的“星火·链网”骨干节点、区块链公共服务平台等项目，按</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照不超过项目总投资额 30%的比例，给予最高不超过 500 万元的补助。深化区块链在设计、生产、服务等环节的应用，发展基于区块链的数据管理、分析应用等，提升工业大数据管理和应用水平，打造基于区块链技术的工业互联网新模式、新业态。</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（5）支持创新服务载体建设。</w:t>
      </w:r>
      <w:r>
        <w:rPr>
          <w:rFonts w:hint="eastAsia" w:ascii="仿宋_GB2312" w:hAnsi="仿宋_GB2312" w:eastAsia="仿宋_GB2312" w:cs="仿宋_GB2312"/>
          <w:b w:val="0"/>
          <w:bCs w:val="0"/>
          <w:color w:val="auto"/>
          <w:spacing w:val="0"/>
          <w:kern w:val="2"/>
          <w:sz w:val="32"/>
          <w:szCs w:val="32"/>
          <w:lang w:val="en-US" w:eastAsia="zh-CN"/>
        </w:rPr>
        <w:t>面向区域产业特色，支持建设一批数字化转型促进中心、工业互联网产业研究院、工业互联网创新中心、工业互联网大数据中心、推广中心、展示体验中心、实训基地、联合实验室等，营造产学研用一体的协同创新生态，按照不超过项目总投资额 20%的比例，给予最高不超过 500 万元的补助。</w:t>
      </w:r>
    </w:p>
    <w:p>
      <w:pPr>
        <w:pStyle w:val="2"/>
        <w:numPr>
          <w:ilvl w:val="0"/>
          <w:numId w:val="0"/>
        </w:numPr>
        <w:spacing w:line="560" w:lineRule="exact"/>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41.支持加快工业互联网规模化应用</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（6）支持工业互联网平台建设、升级。</w:t>
      </w:r>
      <w:r>
        <w:rPr>
          <w:rFonts w:hint="eastAsia" w:ascii="仿宋_GB2312" w:hAnsi="仿宋_GB2312" w:eastAsia="仿宋_GB2312" w:cs="仿宋_GB2312"/>
          <w:b w:val="0"/>
          <w:bCs w:val="0"/>
          <w:color w:val="auto"/>
          <w:spacing w:val="0"/>
          <w:kern w:val="2"/>
          <w:sz w:val="32"/>
          <w:szCs w:val="32"/>
          <w:lang w:val="en-US" w:eastAsia="zh-CN"/>
        </w:rPr>
        <w:t>重点支持培育一批双跨型、行业型、区域型、专业型工业互联网平台，对入选工业和信息化部跨行业跨领域工业互联网平台的项目，按照不超过项目总投资额 30%的比例，给予最高不超过 1000 万元的奖励。支持产业集群链式数字化转型，建设面向重点行业的特色型工业互联网平台，打通供应链上下游企业间信息传递渠道，推动产业链上下游协同发展，提升行业整体数字化水平，按照不超过项目总投资额 15%的比例，给予最高不超过 500 万元的补助；聚焦工业（产业）园区，支持建设面向重点区域的特色型工业互联网平台（工业互联网示范园区），发挥园区产业吸引与辐射扩散效应，按照不超过项目总投资额 15%的比例，给予最高不超过 500 万元的补助；建设一批企业级平台，按照不超过项目总投资额 15%的比例，给予最高不超过 200 万元的补助。支持平台应用 5G、人工智能、北斗、元宇宙、云计算等新一代信息技术完善功能和提升性能，按照不超过升级改造项目总投资额 15%的比例，给予最高不超过 200万元的补助。</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（7）支持提升智能制造能力。</w:t>
      </w:r>
      <w:r>
        <w:rPr>
          <w:rFonts w:hint="eastAsia" w:ascii="仿宋_GB2312" w:hAnsi="仿宋_GB2312" w:eastAsia="仿宋_GB2312" w:cs="仿宋_GB2312"/>
          <w:b w:val="0"/>
          <w:bCs w:val="0"/>
          <w:color w:val="auto"/>
          <w:spacing w:val="0"/>
          <w:kern w:val="2"/>
          <w:sz w:val="32"/>
          <w:szCs w:val="32"/>
          <w:lang w:val="en-US" w:eastAsia="zh-CN"/>
        </w:rPr>
        <w:t>支持企业在生产全过程、供应链全环节、产品全生命周期加大新技术、新装备应用，加快新一代信息技术与先进制造技术深度融合，支持工业企业实施设备更新和技术改造，对智能制造装备应用、智能工厂等项目（包括软件系统迭代升级和创新应用项目），按照不超过项目总投资额15%的比例，给予最高不超过 200 万元的补助。</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（8）支持试点示范项目建设。</w:t>
      </w:r>
      <w:r>
        <w:rPr>
          <w:rFonts w:hint="eastAsia" w:ascii="仿宋_GB2312" w:hAnsi="仿宋_GB2312" w:eastAsia="仿宋_GB2312" w:cs="仿宋_GB2312"/>
          <w:b w:val="0"/>
          <w:bCs w:val="0"/>
          <w:color w:val="auto"/>
          <w:spacing w:val="0"/>
          <w:kern w:val="2"/>
          <w:sz w:val="32"/>
          <w:szCs w:val="32"/>
          <w:lang w:val="en-US" w:eastAsia="zh-CN"/>
        </w:rPr>
        <w:t>对获得工业和信息化部工业互联网试点示范项目、新一代信息技术与制造业融合发展试点示范项目、5G 工厂、智能制造示范工厂、区块链等试点示范项目，给予 50 万元的一次性奖励。对首次通过国家评定机构认定的两化融合管理体系等贯标评估、国家级智能制造优秀场景等企业，给予 30 万元的一次性奖励。对首次通过数据管理能力成熟度评估模型（DCMM）等认证评估二级、三级、四级及以上的企业分别给予 20 万元、30 万元、40 万元的一次性奖励。对首次通过数字化转型贯标达到 2 星级（含）以上的企业给予 30 万元的一次性奖励。对获得中小企业数字化转型试点城市等，按其获得中央财政实际到位资金的 10%给予补助。</w:t>
      </w:r>
    </w:p>
    <w:p>
      <w:pPr>
        <w:pStyle w:val="2"/>
        <w:numPr>
          <w:ilvl w:val="0"/>
          <w:numId w:val="0"/>
        </w:numPr>
        <w:spacing w:line="560" w:lineRule="exact"/>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42.支持提升数字化转型服务能力</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（9）支持软件和信息技术服务业发展。</w:t>
      </w:r>
      <w:r>
        <w:rPr>
          <w:rFonts w:hint="eastAsia" w:ascii="仿宋_GB2312" w:hAnsi="仿宋_GB2312" w:eastAsia="仿宋_GB2312" w:cs="仿宋_GB2312"/>
          <w:b w:val="0"/>
          <w:bCs w:val="0"/>
          <w:color w:val="auto"/>
          <w:spacing w:val="0"/>
          <w:kern w:val="2"/>
          <w:sz w:val="32"/>
          <w:szCs w:val="32"/>
          <w:lang w:val="en-US" w:eastAsia="zh-CN"/>
        </w:rPr>
        <w:t>支持软件关键技术联合攻关，促进研发设计、生产控制、工控安全等软件产品开发；鼓励企业围绕商用密码、网络安全、物联网、人工智能、元宇宙、北斗、区块链等开展技术攻关和产品研发，加强面向重点行业领域典型应用推广，按照不超过项目总投资额 15%的比例，给予最高不超过 200 万元的补助。</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（10）首版次软件产品采用后补贴方式安排使用，</w:t>
      </w:r>
      <w:r>
        <w:rPr>
          <w:rFonts w:hint="eastAsia" w:ascii="仿宋_GB2312" w:hAnsi="仿宋_GB2312" w:eastAsia="仿宋_GB2312" w:cs="仿宋_GB2312"/>
          <w:b w:val="0"/>
          <w:bCs w:val="0"/>
          <w:color w:val="auto"/>
          <w:spacing w:val="0"/>
          <w:kern w:val="2"/>
          <w:sz w:val="32"/>
          <w:szCs w:val="32"/>
          <w:lang w:val="en-US" w:eastAsia="zh-CN"/>
        </w:rPr>
        <w:t>按照不超过首版次软件产品销售累计金额 20%的比例，给予最高不超过 200万元的一次性奖励。</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（11）支持开展智改数转诊断咨询服务。</w:t>
      </w:r>
      <w:r>
        <w:rPr>
          <w:rFonts w:hint="eastAsia" w:ascii="仿宋_GB2312" w:hAnsi="仿宋_GB2312" w:eastAsia="仿宋_GB2312" w:cs="仿宋_GB2312"/>
          <w:b w:val="0"/>
          <w:bCs w:val="0"/>
          <w:color w:val="auto"/>
          <w:spacing w:val="0"/>
          <w:kern w:val="2"/>
          <w:sz w:val="32"/>
          <w:szCs w:val="32"/>
          <w:lang w:val="en-US" w:eastAsia="zh-CN"/>
        </w:rPr>
        <w:t>鼓励开展工业大数据管理能力评估、企业数字化转型诊断、智能制造成熟度评估、工业数据安全评估、工业互联网安全检查，工业互联网白皮书、工业互联网行业标准、评估报告发布等工作，根据年度资金安排，给予一定支持和奖励。</w:t>
      </w:r>
    </w:p>
    <w:p>
      <w:pPr>
        <w:pStyle w:val="2"/>
        <w:numPr>
          <w:ilvl w:val="0"/>
          <w:numId w:val="0"/>
        </w:numPr>
        <w:spacing w:line="560" w:lineRule="exact"/>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（12）鼓励各类机构面向专业技术人才和企业高级管理人员，开展工业互联网素质提升培训</w:t>
      </w:r>
      <w:r>
        <w:rPr>
          <w:rFonts w:hint="eastAsia" w:ascii="仿宋_GB2312" w:hAnsi="仿宋_GB2312" w:eastAsia="仿宋_GB2312" w:cs="仿宋_GB2312"/>
          <w:b w:val="0"/>
          <w:bCs w:val="0"/>
          <w:color w:val="auto"/>
          <w:spacing w:val="0"/>
          <w:kern w:val="2"/>
          <w:sz w:val="32"/>
          <w:szCs w:val="32"/>
          <w:lang w:val="en-US" w:eastAsia="zh-CN"/>
        </w:rPr>
        <w:t>，支持以培训班、宣贯会等方式开展数字化转型人才岗位能力培训和宣传服务，培养高素质应用型、复合型、创新型工业互联网技术技能人才；支持以举办培训班、比赛等方式开展的工业互联网相关活动，按照不超过总投入 30%的比例，给予最高不超过 50 万元的奖励。</w:t>
      </w:r>
    </w:p>
    <w:p>
      <w:pPr>
        <w:pStyle w:val="2"/>
        <w:numPr>
          <w:ilvl w:val="0"/>
          <w:numId w:val="0"/>
        </w:numPr>
        <w:spacing w:line="560" w:lineRule="exact"/>
        <w:rPr>
          <w:rFonts w:hint="eastAsia" w:ascii="仿宋_GB2312" w:hAnsi="仿宋_GB2312" w:eastAsia="仿宋_GB2312" w:cs="仿宋_GB2312"/>
          <w:b/>
          <w:bCs/>
          <w:color w:val="auto"/>
          <w:spacing w:val="-20"/>
          <w:kern w:val="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rPr>
        <w:t>《自治区工业和信息化厅关于印发广西加快制造业数字化转型 助力新型工业化发展若干措施的通知》</w:t>
      </w:r>
      <w:r>
        <w:rPr>
          <w:rFonts w:hint="eastAsia" w:ascii="仿宋_GB2312" w:hAnsi="仿宋_GB2312" w:eastAsia="仿宋_GB2312" w:cs="仿宋_GB2312"/>
          <w:b/>
          <w:bCs/>
          <w:color w:val="auto"/>
          <w:spacing w:val="-20"/>
          <w:kern w:val="2"/>
          <w:sz w:val="32"/>
          <w:szCs w:val="32"/>
          <w:lang w:val="en-US" w:eastAsia="zh-CN"/>
        </w:rPr>
        <w:t>（</w:t>
      </w:r>
      <w:r>
        <w:rPr>
          <w:rFonts w:ascii="仿宋_GB2312" w:hAnsi="宋体" w:eastAsia="仿宋_GB2312" w:cs="仿宋_GB2312"/>
          <w:b/>
          <w:bCs/>
          <w:color w:val="000000"/>
          <w:spacing w:val="-20"/>
          <w:kern w:val="0"/>
          <w:sz w:val="31"/>
          <w:szCs w:val="31"/>
          <w:lang w:val="en-US" w:eastAsia="zh-CN" w:bidi="ar"/>
        </w:rPr>
        <w:t>桂工信规范〔2024〕4 号</w:t>
      </w:r>
      <w:r>
        <w:rPr>
          <w:rFonts w:hint="eastAsia" w:ascii="仿宋_GB2312" w:hAnsi="仿宋_GB2312" w:eastAsia="仿宋_GB2312" w:cs="仿宋_GB2312"/>
          <w:b/>
          <w:bCs/>
          <w:color w:val="auto"/>
          <w:spacing w:val="-20"/>
          <w:kern w:val="2"/>
          <w:sz w:val="32"/>
          <w:szCs w:val="32"/>
          <w:lang w:val="en-US" w:eastAsia="zh-CN"/>
        </w:rPr>
        <w:t>）</w:t>
      </w:r>
    </w:p>
    <w:p>
      <w:pPr>
        <w:pStyle w:val="2"/>
        <w:rPr>
          <w:rFonts w:hint="eastAsia" w:ascii="仿宋_GB2312" w:hAnsi="仿宋_GB2312" w:eastAsia="仿宋_GB2312" w:cs="仿宋_GB2312"/>
          <w:b w:val="0"/>
          <w:bCs w:val="0"/>
          <w:color w:val="auto"/>
          <w:spacing w:val="0"/>
          <w:kern w:val="2"/>
          <w:sz w:val="32"/>
          <w:szCs w:val="32"/>
          <w:lang w:val="en-US" w:eastAsia="zh-CN"/>
        </w:rPr>
      </w:pPr>
    </w:p>
    <w:p>
      <w:pPr>
        <w:numPr>
          <w:ilvl w:val="-1"/>
          <w:numId w:val="0"/>
        </w:numPr>
        <w:spacing w:beforeLines="0" w:afterLines="0" w:line="620" w:lineRule="exact"/>
        <w:ind w:firstLine="0" w:firstLineChars="0"/>
        <w:jc w:val="center"/>
        <w:outlineLvl w:val="0"/>
        <w:rPr>
          <w:rFonts w:hint="eastAsia" w:ascii="黑体" w:hAnsi="黑体" w:eastAsia="黑体" w:cs="黑体"/>
          <w:b w:val="0"/>
          <w:bCs w:val="0"/>
          <w:color w:val="auto"/>
          <w:sz w:val="44"/>
          <w:szCs w:val="44"/>
          <w:lang w:val="en-US" w:eastAsia="zh-CN"/>
        </w:rPr>
      </w:pPr>
    </w:p>
    <w:p>
      <w:pPr>
        <w:pStyle w:val="2"/>
        <w:rPr>
          <w:rFonts w:hint="eastAsia" w:ascii="黑体" w:hAnsi="黑体" w:eastAsia="黑体" w:cs="黑体"/>
          <w:b w:val="0"/>
          <w:bCs w:val="0"/>
          <w:color w:val="auto"/>
          <w:sz w:val="44"/>
          <w:szCs w:val="44"/>
          <w:lang w:val="en-US" w:eastAsia="zh-CN"/>
        </w:rPr>
      </w:pPr>
    </w:p>
    <w:p>
      <w:pPr>
        <w:pStyle w:val="2"/>
        <w:rPr>
          <w:rFonts w:hint="eastAsia" w:ascii="黑体" w:hAnsi="黑体" w:eastAsia="黑体" w:cs="黑体"/>
          <w:b w:val="0"/>
          <w:bCs w:val="0"/>
          <w:color w:val="auto"/>
          <w:sz w:val="44"/>
          <w:szCs w:val="44"/>
          <w:lang w:val="en-US" w:eastAsia="zh-CN"/>
        </w:rPr>
      </w:pPr>
    </w:p>
    <w:p>
      <w:pPr>
        <w:pStyle w:val="2"/>
        <w:rPr>
          <w:rFonts w:hint="eastAsia" w:ascii="黑体" w:hAnsi="黑体" w:eastAsia="黑体" w:cs="黑体"/>
          <w:b w:val="0"/>
          <w:bCs w:val="0"/>
          <w:color w:val="auto"/>
          <w:sz w:val="44"/>
          <w:szCs w:val="44"/>
          <w:lang w:val="en-US" w:eastAsia="zh-CN"/>
        </w:rPr>
      </w:pPr>
    </w:p>
    <w:p>
      <w:pPr>
        <w:pStyle w:val="2"/>
        <w:rPr>
          <w:rFonts w:hint="eastAsia" w:ascii="黑体" w:hAnsi="黑体" w:eastAsia="黑体" w:cs="黑体"/>
          <w:b w:val="0"/>
          <w:bCs w:val="0"/>
          <w:color w:val="auto"/>
          <w:sz w:val="44"/>
          <w:szCs w:val="44"/>
          <w:lang w:val="en-US" w:eastAsia="zh-CN"/>
        </w:rPr>
      </w:pPr>
    </w:p>
    <w:p>
      <w:pPr>
        <w:pStyle w:val="2"/>
        <w:rPr>
          <w:rFonts w:hint="eastAsia" w:ascii="黑体" w:hAnsi="黑体" w:eastAsia="黑体" w:cs="黑体"/>
          <w:b w:val="0"/>
          <w:bCs w:val="0"/>
          <w:color w:val="auto"/>
          <w:sz w:val="44"/>
          <w:szCs w:val="44"/>
          <w:lang w:val="en-US" w:eastAsia="zh-CN"/>
        </w:rPr>
      </w:pPr>
    </w:p>
    <w:p>
      <w:pPr>
        <w:numPr>
          <w:ilvl w:val="-1"/>
          <w:numId w:val="0"/>
        </w:numPr>
        <w:spacing w:beforeLines="0" w:afterLines="0" w:line="620" w:lineRule="exact"/>
        <w:ind w:firstLine="0" w:firstLineChars="0"/>
        <w:jc w:val="center"/>
        <w:outlineLvl w:val="0"/>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五、开放平台优惠政策</w:t>
      </w:r>
    </w:p>
    <w:p>
      <w:pPr>
        <w:pStyle w:val="3"/>
        <w:spacing w:beforeLines="0" w:beforeAutospacing="0" w:afterLines="0" w:afterAutospacing="0" w:line="620" w:lineRule="exact"/>
        <w:ind w:firstLine="643"/>
        <w:rPr>
          <w:rFonts w:hint="eastAsia" w:ascii="仿宋_GB2312" w:hAnsi="仿宋_GB2312" w:eastAsia="仿宋_GB2312" w:cs="仿宋_GB2312"/>
          <w:b/>
          <w:bCs/>
          <w:color w:val="auto"/>
          <w:kern w:val="0"/>
          <w:sz w:val="32"/>
          <w:szCs w:val="32"/>
          <w:lang w:val="en-US" w:eastAsia="zh-CN" w:bidi="ar-SA"/>
        </w:rPr>
      </w:pPr>
    </w:p>
    <w:p>
      <w:pPr>
        <w:pStyle w:val="3"/>
        <w:spacing w:beforeLines="0" w:beforeAutospacing="0" w:afterLines="0" w:afterAutospacing="0" w:line="620" w:lineRule="exact"/>
        <w:ind w:firstLine="643"/>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（一）西部大开发政策</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43</w:t>
      </w:r>
      <w:r>
        <w:rPr>
          <w:rFonts w:hint="eastAsia" w:ascii="仿宋_GB2312" w:hAnsi="仿宋_GB2312" w:eastAsia="仿宋_GB2312" w:cs="仿宋_GB2312"/>
          <w:b/>
          <w:bCs/>
          <w:color w:val="auto"/>
          <w:kern w:val="2"/>
          <w:sz w:val="32"/>
          <w:szCs w:val="32"/>
          <w:lang w:val="en-US" w:eastAsia="zh-CN" w:bidi="ar-SA"/>
        </w:rPr>
        <w:t>.西部大开发企业所得税政策。</w:t>
      </w:r>
      <w:r>
        <w:rPr>
          <w:rFonts w:hint="eastAsia" w:ascii="仿宋_GB2312" w:hAnsi="仿宋_GB2312" w:eastAsia="仿宋_GB2312" w:cs="仿宋_GB2312"/>
          <w:b w:val="0"/>
          <w:bCs w:val="0"/>
          <w:color w:val="auto"/>
          <w:kern w:val="2"/>
          <w:sz w:val="32"/>
          <w:szCs w:val="32"/>
          <w:lang w:val="en-US" w:eastAsia="zh-CN" w:bidi="ar-SA"/>
        </w:rPr>
        <w:t>自</w:t>
      </w:r>
      <w:r>
        <w:rPr>
          <w:rFonts w:hint="default" w:ascii="Times New Roman" w:hAnsi="Times New Roman" w:eastAsia="仿宋_GB2312" w:cs="Times New Roman"/>
          <w:b w:val="0"/>
          <w:bCs w:val="0"/>
          <w:color w:val="auto"/>
          <w:kern w:val="2"/>
          <w:sz w:val="32"/>
          <w:szCs w:val="32"/>
          <w:lang w:val="en-US" w:eastAsia="zh-CN" w:bidi="ar-SA"/>
        </w:rPr>
        <w:t>2021</w:t>
      </w:r>
      <w:r>
        <w:rPr>
          <w:rFonts w:hint="eastAsia" w:ascii="仿宋_GB2312" w:hAnsi="仿宋_GB2312" w:eastAsia="仿宋_GB2312" w:cs="仿宋_GB2312"/>
          <w:b w:val="0"/>
          <w:bCs w:val="0"/>
          <w:color w:val="auto"/>
          <w:kern w:val="2"/>
          <w:sz w:val="32"/>
          <w:szCs w:val="32"/>
          <w:lang w:val="en-US" w:eastAsia="zh-CN" w:bidi="ar-SA"/>
        </w:rPr>
        <w:t>年</w:t>
      </w:r>
      <w:r>
        <w:rPr>
          <w:rFonts w:hint="default" w:ascii="Times New Roman" w:hAnsi="Times New Roman" w:eastAsia="仿宋_GB2312" w:cs="Times New Roman"/>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月</w:t>
      </w:r>
      <w:r>
        <w:rPr>
          <w:rFonts w:hint="default" w:ascii="Times New Roman" w:hAnsi="Times New Roman" w:eastAsia="仿宋_GB2312" w:cs="Times New Roman"/>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日至</w:t>
      </w:r>
      <w:r>
        <w:rPr>
          <w:rFonts w:hint="default" w:ascii="Times New Roman" w:hAnsi="Times New Roman" w:eastAsia="仿宋_GB2312" w:cs="Times New Roman"/>
          <w:b w:val="0"/>
          <w:bCs w:val="0"/>
          <w:color w:val="auto"/>
          <w:kern w:val="2"/>
          <w:sz w:val="32"/>
          <w:szCs w:val="32"/>
          <w:lang w:val="en-US" w:eastAsia="zh-CN" w:bidi="ar-SA"/>
        </w:rPr>
        <w:t>2030</w:t>
      </w:r>
      <w:r>
        <w:rPr>
          <w:rFonts w:hint="eastAsia" w:ascii="仿宋_GB2312" w:hAnsi="仿宋_GB2312" w:eastAsia="仿宋_GB2312" w:cs="仿宋_GB2312"/>
          <w:b w:val="0"/>
          <w:bCs w:val="0"/>
          <w:color w:val="auto"/>
          <w:kern w:val="2"/>
          <w:sz w:val="32"/>
          <w:szCs w:val="32"/>
          <w:lang w:val="en-US" w:eastAsia="zh-CN" w:bidi="ar-SA"/>
        </w:rPr>
        <w:t>年</w:t>
      </w:r>
      <w:r>
        <w:rPr>
          <w:rFonts w:hint="default" w:ascii="Times New Roman" w:hAnsi="Times New Roman" w:eastAsia="仿宋_GB2312" w:cs="Times New Roman"/>
          <w:b w:val="0"/>
          <w:bCs w:val="0"/>
          <w:color w:val="auto"/>
          <w:kern w:val="2"/>
          <w:sz w:val="32"/>
          <w:szCs w:val="32"/>
          <w:lang w:val="en-US" w:eastAsia="zh-CN" w:bidi="ar-SA"/>
        </w:rPr>
        <w:t>12</w:t>
      </w:r>
      <w:r>
        <w:rPr>
          <w:rFonts w:hint="eastAsia" w:ascii="仿宋_GB2312" w:hAnsi="仿宋_GB2312" w:eastAsia="仿宋_GB2312" w:cs="仿宋_GB2312"/>
          <w:b w:val="0"/>
          <w:bCs w:val="0"/>
          <w:color w:val="auto"/>
          <w:kern w:val="2"/>
          <w:sz w:val="32"/>
          <w:szCs w:val="32"/>
          <w:lang w:val="en-US" w:eastAsia="zh-CN" w:bidi="ar-SA"/>
        </w:rPr>
        <w:t>月</w:t>
      </w:r>
      <w:r>
        <w:rPr>
          <w:rFonts w:hint="default" w:ascii="Times New Roman" w:hAnsi="Times New Roman" w:eastAsia="仿宋_GB2312" w:cs="Times New Roman"/>
          <w:b w:val="0"/>
          <w:bCs w:val="0"/>
          <w:color w:val="auto"/>
          <w:kern w:val="2"/>
          <w:sz w:val="32"/>
          <w:szCs w:val="32"/>
          <w:lang w:val="en-US" w:eastAsia="zh-CN" w:bidi="ar-SA"/>
        </w:rPr>
        <w:t>31</w:t>
      </w:r>
      <w:r>
        <w:rPr>
          <w:rFonts w:hint="eastAsia" w:ascii="仿宋_GB2312" w:hAnsi="仿宋_GB2312" w:eastAsia="仿宋_GB2312" w:cs="仿宋_GB2312"/>
          <w:b w:val="0"/>
          <w:bCs w:val="0"/>
          <w:color w:val="auto"/>
          <w:kern w:val="2"/>
          <w:sz w:val="32"/>
          <w:szCs w:val="32"/>
          <w:lang w:val="en-US" w:eastAsia="zh-CN" w:bidi="ar-SA"/>
        </w:rPr>
        <w:t>日，对设在西部地区的鼓励类产业企业减按</w:t>
      </w:r>
      <w:r>
        <w:rPr>
          <w:rFonts w:hint="default" w:ascii="Times New Roman" w:hAnsi="Times New Roman" w:eastAsia="仿宋_GB2312" w:cs="Times New Roman"/>
          <w:b w:val="0"/>
          <w:bCs w:val="0"/>
          <w:color w:val="auto"/>
          <w:kern w:val="2"/>
          <w:sz w:val="32"/>
          <w:szCs w:val="32"/>
          <w:lang w:val="en-US" w:eastAsia="zh-CN" w:bidi="ar-SA"/>
        </w:rPr>
        <w:t>15%</w:t>
      </w:r>
      <w:r>
        <w:rPr>
          <w:rFonts w:hint="eastAsia" w:ascii="仿宋_GB2312" w:hAnsi="仿宋_GB2312" w:eastAsia="仿宋_GB2312" w:cs="仿宋_GB2312"/>
          <w:b w:val="0"/>
          <w:bCs w:val="0"/>
          <w:color w:val="auto"/>
          <w:kern w:val="2"/>
          <w:sz w:val="32"/>
          <w:szCs w:val="32"/>
          <w:lang w:val="en-US" w:eastAsia="zh-CN" w:bidi="ar-SA"/>
        </w:rPr>
        <w:t>的税率征收企业所得税。本条所称鼓励类产业企业是指以《西部地区鼓励类产业目录》中规定的产业项目为主营业务，且其主营业务收入占企业收入总额</w:t>
      </w:r>
      <w:r>
        <w:rPr>
          <w:rFonts w:hint="default" w:ascii="Times New Roman" w:hAnsi="Times New Roman" w:eastAsia="仿宋_GB2312" w:cs="Times New Roman"/>
          <w:b w:val="0"/>
          <w:bCs w:val="0"/>
          <w:color w:val="auto"/>
          <w:kern w:val="2"/>
          <w:sz w:val="32"/>
          <w:szCs w:val="32"/>
          <w:lang w:val="en-US" w:eastAsia="zh-CN" w:bidi="ar-SA"/>
        </w:rPr>
        <w:t>60%</w:t>
      </w:r>
      <w:r>
        <w:rPr>
          <w:rFonts w:hint="eastAsia" w:ascii="仿宋_GB2312" w:hAnsi="仿宋_GB2312" w:eastAsia="仿宋_GB2312" w:cs="仿宋_GB2312"/>
          <w:b w:val="0"/>
          <w:bCs w:val="0"/>
          <w:color w:val="auto"/>
          <w:kern w:val="2"/>
          <w:sz w:val="32"/>
          <w:szCs w:val="32"/>
          <w:lang w:val="en-US" w:eastAsia="zh-CN" w:bidi="ar-SA"/>
        </w:rPr>
        <w:t>以上的企业。</w:t>
      </w:r>
      <w:r>
        <w:rPr>
          <w:rFonts w:hint="eastAsia" w:ascii="仿宋_GB2312" w:hAnsi="仿宋_GB2312" w:eastAsia="仿宋_GB2312" w:cs="仿宋_GB2312"/>
          <w:b/>
          <w:bCs/>
          <w:color w:val="auto"/>
          <w:kern w:val="2"/>
          <w:sz w:val="32"/>
          <w:szCs w:val="32"/>
          <w:lang w:val="en-US" w:eastAsia="zh-CN" w:bidi="ar-SA"/>
        </w:rPr>
        <w:t>《关于延续西部大开发企业所得税政策的公告》（财政部 税务总局 国家发展改革委公告</w:t>
      </w:r>
      <w:r>
        <w:rPr>
          <w:rFonts w:hint="default" w:ascii="Times New Roman" w:hAnsi="Times New Roman" w:eastAsia="仿宋_GB2312" w:cs="Times New Roman"/>
          <w:b/>
          <w:bCs/>
          <w:color w:val="auto"/>
          <w:kern w:val="2"/>
          <w:sz w:val="32"/>
          <w:szCs w:val="32"/>
          <w:lang w:val="en-US" w:eastAsia="zh-CN" w:bidi="ar-SA"/>
        </w:rPr>
        <w:t>2020</w:t>
      </w:r>
      <w:r>
        <w:rPr>
          <w:rFonts w:hint="eastAsia" w:ascii="仿宋_GB2312" w:hAnsi="仿宋_GB2312" w:eastAsia="仿宋_GB2312" w:cs="仿宋_GB2312"/>
          <w:b/>
          <w:bCs/>
          <w:color w:val="auto"/>
          <w:kern w:val="2"/>
          <w:sz w:val="32"/>
          <w:szCs w:val="32"/>
          <w:lang w:val="en-US" w:eastAsia="zh-CN" w:bidi="ar-SA"/>
        </w:rPr>
        <w:t>年第</w:t>
      </w:r>
      <w:r>
        <w:rPr>
          <w:rFonts w:hint="default" w:ascii="Times New Roman" w:hAnsi="Times New Roman" w:eastAsia="仿宋_GB2312" w:cs="Times New Roman"/>
          <w:b/>
          <w:bCs/>
          <w:color w:val="auto"/>
          <w:kern w:val="2"/>
          <w:sz w:val="32"/>
          <w:szCs w:val="32"/>
          <w:lang w:val="en-US" w:eastAsia="zh-CN" w:bidi="ar-SA"/>
        </w:rPr>
        <w:t>23</w:t>
      </w:r>
      <w:r>
        <w:rPr>
          <w:rFonts w:hint="eastAsia" w:ascii="仿宋_GB2312" w:hAnsi="仿宋_GB2312" w:eastAsia="仿宋_GB2312" w:cs="仿宋_GB2312"/>
          <w:b/>
          <w:bCs/>
          <w:color w:val="auto"/>
          <w:kern w:val="2"/>
          <w:sz w:val="32"/>
          <w:szCs w:val="32"/>
          <w:lang w:val="en-US" w:eastAsia="zh-CN" w:bidi="ar-SA"/>
        </w:rPr>
        <w:t>号）</w:t>
      </w:r>
    </w:p>
    <w:p>
      <w:pPr>
        <w:pStyle w:val="3"/>
        <w:spacing w:beforeLines="0" w:beforeAutospacing="0" w:afterLines="0" w:afterAutospacing="0" w:line="620" w:lineRule="exact"/>
        <w:ind w:firstLine="643"/>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（二）北部湾经济区政策</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 w:eastAsia="zh-CN" w:bidi="ar-SA"/>
        </w:rPr>
      </w:pPr>
      <w:r>
        <w:rPr>
          <w:rFonts w:hint="eastAsia" w:ascii="Times New Roman" w:hAnsi="Times New Roman" w:eastAsia="仿宋_GB2312" w:cs="Times New Roman"/>
          <w:b/>
          <w:bCs/>
          <w:color w:val="auto"/>
          <w:kern w:val="2"/>
          <w:sz w:val="32"/>
          <w:szCs w:val="32"/>
          <w:lang w:val="en-US" w:eastAsia="zh-CN" w:bidi="ar-SA"/>
        </w:rPr>
        <w:t>44</w:t>
      </w:r>
      <w:r>
        <w:rPr>
          <w:rFonts w:hint="eastAsia" w:ascii="仿宋_GB2312" w:hAnsi="仿宋_GB2312" w:eastAsia="仿宋_GB2312" w:cs="仿宋_GB2312"/>
          <w:b/>
          <w:bCs/>
          <w:color w:val="auto"/>
          <w:kern w:val="2"/>
          <w:sz w:val="32"/>
          <w:szCs w:val="32"/>
          <w:lang w:val="en-US" w:eastAsia="zh-CN" w:bidi="ar-SA"/>
        </w:rPr>
        <w:t>.高新技术企业或符合条件企业税收优惠。</w:t>
      </w:r>
      <w:r>
        <w:rPr>
          <w:rFonts w:hint="eastAsia" w:ascii="仿宋_GB2312" w:hAnsi="仿宋_GB2312" w:eastAsia="仿宋_GB2312" w:cs="仿宋_GB2312"/>
          <w:b w:val="0"/>
          <w:bCs w:val="0"/>
          <w:color w:val="auto"/>
          <w:kern w:val="2"/>
          <w:sz w:val="32"/>
          <w:szCs w:val="32"/>
          <w:lang w:val="en-US" w:eastAsia="zh-CN" w:bidi="ar-SA"/>
        </w:rPr>
        <w:t>对在广西北部湾经济区（包括南宁、北海、防城港、钦州、玉林和崇左</w:t>
      </w:r>
      <w:r>
        <w:rPr>
          <w:rFonts w:hint="default" w:ascii="Times New Roman" w:hAnsi="Times New Roman" w:eastAsia="仿宋_GB2312" w:cs="Times New Roman"/>
          <w:b w:val="0"/>
          <w:bCs w:val="0"/>
          <w:color w:val="auto"/>
          <w:kern w:val="2"/>
          <w:sz w:val="32"/>
          <w:szCs w:val="32"/>
          <w:lang w:val="en-US" w:eastAsia="zh-CN" w:bidi="ar-SA"/>
        </w:rPr>
        <w:t>6</w:t>
      </w:r>
      <w:r>
        <w:rPr>
          <w:rFonts w:hint="eastAsia" w:ascii="仿宋_GB2312" w:hAnsi="仿宋_GB2312" w:eastAsia="仿宋_GB2312" w:cs="仿宋_GB2312"/>
          <w:b w:val="0"/>
          <w:bCs w:val="0"/>
          <w:color w:val="auto"/>
          <w:kern w:val="2"/>
          <w:sz w:val="32"/>
          <w:szCs w:val="32"/>
          <w:lang w:val="en-US" w:eastAsia="zh-CN" w:bidi="ar-SA"/>
        </w:rPr>
        <w:t>个设区市所辖行政区域</w:t>
      </w:r>
      <w:r>
        <w:rPr>
          <w:rFonts w:hint="eastAsia" w:ascii="仿宋_GB2312" w:hAnsi="仿宋_GB2312" w:eastAsia="仿宋_GB2312" w:cs="仿宋_GB2312"/>
          <w:b w:val="0"/>
          <w:bCs w:val="0"/>
          <w:color w:val="auto"/>
          <w:kern w:val="2"/>
          <w:sz w:val="32"/>
          <w:szCs w:val="32"/>
          <w:lang w:val="en" w:eastAsia="zh-CN" w:bidi="ar-SA"/>
        </w:rPr>
        <w:t>）</w:t>
      </w:r>
      <w:r>
        <w:rPr>
          <w:rFonts w:hint="eastAsia" w:ascii="仿宋_GB2312" w:hAnsi="仿宋_GB2312" w:eastAsia="仿宋_GB2312" w:cs="仿宋_GB2312"/>
          <w:b w:val="0"/>
          <w:bCs w:val="0"/>
          <w:color w:val="auto"/>
          <w:kern w:val="2"/>
          <w:sz w:val="32"/>
          <w:szCs w:val="32"/>
          <w:lang w:val="en-US" w:eastAsia="zh-CN" w:bidi="ar-SA"/>
        </w:rPr>
        <w:t>内新注册开办，经认定为高新技术企业或符合享受国家西部大开发企业所得税税收优惠政策条件的企业，自其取得第一笔主营业务收入所属纳税年度起，免征属于地方分享部分的企业所得税</w:t>
      </w:r>
      <w:r>
        <w:rPr>
          <w:rFonts w:hint="default" w:ascii="Times New Roman" w:hAnsi="Times New Roman" w:eastAsia="仿宋_GB2312" w:cs="Times New Roman"/>
          <w:b w:val="0"/>
          <w:bCs w:val="0"/>
          <w:color w:val="auto"/>
          <w:kern w:val="2"/>
          <w:sz w:val="32"/>
          <w:szCs w:val="32"/>
          <w:lang w:val="en-US" w:eastAsia="zh-CN" w:bidi="ar-SA"/>
        </w:rPr>
        <w:t>5</w:t>
      </w:r>
      <w:r>
        <w:rPr>
          <w:rFonts w:hint="eastAsia" w:ascii="仿宋_GB2312" w:hAnsi="仿宋_GB2312" w:eastAsia="仿宋_GB2312" w:cs="仿宋_GB2312"/>
          <w:b w:val="0"/>
          <w:bCs w:val="0"/>
          <w:color w:val="auto"/>
          <w:kern w:val="2"/>
          <w:sz w:val="32"/>
          <w:szCs w:val="32"/>
          <w:lang w:val="en-US" w:eastAsia="zh-CN" w:bidi="ar-SA"/>
        </w:rPr>
        <w:t>年。</w:t>
      </w:r>
    </w:p>
    <w:p>
      <w:pPr>
        <w:autoSpaceDE/>
        <w:autoSpaceDN/>
        <w:snapToGrid w:val="0"/>
        <w:spacing w:beforeLines="0" w:afterLines="0" w:line="620" w:lineRule="exact"/>
        <w:ind w:firstLine="642" w:firstLineChars="200"/>
        <w:jc w:val="both"/>
        <w:rPr>
          <w:rFonts w:hint="eastAsia" w:ascii="仿宋_GB2312" w:hAnsi="仿宋_GB2312" w:eastAsia="仿宋_GB2312" w:cs="仿宋_GB2312"/>
          <w:b w:val="0"/>
          <w:bCs w:val="0"/>
          <w:color w:val="auto"/>
          <w:kern w:val="2"/>
          <w:sz w:val="32"/>
          <w:szCs w:val="32"/>
          <w:lang w:val="en" w:eastAsia="zh-CN" w:bidi="ar-SA"/>
        </w:rPr>
      </w:pPr>
      <w:r>
        <w:rPr>
          <w:rFonts w:hint="eastAsia" w:ascii="Times New Roman" w:hAnsi="Times New Roman" w:eastAsia="仿宋_GB2312" w:cs="Times New Roman"/>
          <w:b/>
          <w:bCs/>
          <w:color w:val="auto"/>
          <w:kern w:val="2"/>
          <w:sz w:val="32"/>
          <w:szCs w:val="32"/>
          <w:lang w:val="en-US" w:eastAsia="zh-CN" w:bidi="ar-SA"/>
        </w:rPr>
        <w:t>45</w:t>
      </w:r>
      <w:r>
        <w:rPr>
          <w:rFonts w:hint="eastAsia" w:ascii="仿宋_GB2312" w:hAnsi="仿宋_GB2312" w:eastAsia="仿宋_GB2312" w:cs="仿宋_GB2312"/>
          <w:b/>
          <w:bCs/>
          <w:color w:val="auto"/>
          <w:kern w:val="2"/>
          <w:sz w:val="32"/>
          <w:szCs w:val="32"/>
          <w:lang w:val="en-US" w:eastAsia="zh-CN" w:bidi="ar-SA"/>
        </w:rPr>
        <w:t>.工业企业税收优惠。</w:t>
      </w:r>
      <w:r>
        <w:rPr>
          <w:rFonts w:hint="eastAsia" w:ascii="仿宋_GB2312" w:hAnsi="仿宋_GB2312" w:eastAsia="仿宋_GB2312" w:cs="仿宋_GB2312"/>
          <w:b w:val="0"/>
          <w:bCs w:val="0"/>
          <w:color w:val="auto"/>
          <w:kern w:val="2"/>
          <w:sz w:val="32"/>
          <w:szCs w:val="32"/>
          <w:lang w:val="zh-CN" w:eastAsia="zh-CN" w:bidi="ar-SA"/>
        </w:rPr>
        <w:t>对在经济区内新注册开办，以经济区内规定的产业为主营业务的工业企业，自其主营业务收入首次达到总收入的</w:t>
      </w:r>
      <w:r>
        <w:rPr>
          <w:rFonts w:hint="default" w:ascii="Times New Roman" w:hAnsi="Times New Roman" w:eastAsia="仿宋_GB2312" w:cs="Times New Roman"/>
          <w:b w:val="0"/>
          <w:bCs w:val="0"/>
          <w:color w:val="auto"/>
          <w:kern w:val="2"/>
          <w:sz w:val="32"/>
          <w:szCs w:val="32"/>
          <w:lang w:val="zh-CN" w:eastAsia="zh-CN" w:bidi="ar-SA"/>
        </w:rPr>
        <w:t>60%</w:t>
      </w:r>
      <w:r>
        <w:rPr>
          <w:rFonts w:hint="eastAsia" w:ascii="仿宋_GB2312" w:hAnsi="仿宋_GB2312" w:eastAsia="仿宋_GB2312" w:cs="仿宋_GB2312"/>
          <w:b w:val="0"/>
          <w:bCs w:val="0"/>
          <w:color w:val="auto"/>
          <w:kern w:val="2"/>
          <w:sz w:val="32"/>
          <w:szCs w:val="32"/>
          <w:lang w:val="zh-CN" w:eastAsia="zh-CN" w:bidi="ar-SA"/>
        </w:rPr>
        <w:t>以上（含</w:t>
      </w:r>
      <w:r>
        <w:rPr>
          <w:rFonts w:hint="eastAsia" w:ascii="仿宋_GB2312" w:hAnsi="仿宋_GB2312" w:eastAsia="仿宋_GB2312" w:cs="仿宋_GB2312"/>
          <w:b w:val="0"/>
          <w:bCs w:val="0"/>
          <w:color w:val="auto"/>
          <w:kern w:val="2"/>
          <w:sz w:val="32"/>
          <w:szCs w:val="32"/>
          <w:lang w:val="en" w:eastAsia="zh-CN" w:bidi="ar-SA"/>
        </w:rPr>
        <w:t>）</w:t>
      </w:r>
      <w:r>
        <w:rPr>
          <w:rFonts w:hint="eastAsia" w:ascii="仿宋_GB2312" w:hAnsi="仿宋_GB2312" w:eastAsia="仿宋_GB2312" w:cs="仿宋_GB2312"/>
          <w:b w:val="0"/>
          <w:bCs w:val="0"/>
          <w:color w:val="auto"/>
          <w:kern w:val="2"/>
          <w:sz w:val="32"/>
          <w:szCs w:val="32"/>
          <w:lang w:val="zh-CN" w:eastAsia="zh-CN" w:bidi="ar-SA"/>
        </w:rPr>
        <w:t>所属纳税年度起，免征属于地方分享部分的企业所得税</w:t>
      </w:r>
      <w:r>
        <w:rPr>
          <w:rFonts w:hint="default" w:ascii="Times New Roman" w:hAnsi="Times New Roman" w:eastAsia="仿宋_GB2312" w:cs="Times New Roman"/>
          <w:b w:val="0"/>
          <w:bCs w:val="0"/>
          <w:color w:val="auto"/>
          <w:kern w:val="2"/>
          <w:sz w:val="32"/>
          <w:szCs w:val="32"/>
          <w:lang w:val="zh-CN" w:eastAsia="zh-CN" w:bidi="ar-SA"/>
        </w:rPr>
        <w:t>5</w:t>
      </w:r>
      <w:r>
        <w:rPr>
          <w:rFonts w:hint="eastAsia" w:ascii="仿宋_GB2312" w:hAnsi="仿宋_GB2312" w:eastAsia="仿宋_GB2312" w:cs="仿宋_GB2312"/>
          <w:b w:val="0"/>
          <w:bCs w:val="0"/>
          <w:color w:val="auto"/>
          <w:kern w:val="2"/>
          <w:sz w:val="32"/>
          <w:szCs w:val="32"/>
          <w:lang w:val="zh-CN" w:eastAsia="zh-CN" w:bidi="ar-SA"/>
        </w:rPr>
        <w:t>年。</w:t>
      </w:r>
    </w:p>
    <w:p>
      <w:pPr>
        <w:autoSpaceDE/>
        <w:autoSpaceDN/>
        <w:snapToGrid w:val="0"/>
        <w:spacing w:beforeLines="0" w:afterLines="0" w:line="620" w:lineRule="exact"/>
        <w:ind w:firstLine="642" w:firstLineChars="200"/>
        <w:jc w:val="both"/>
        <w:rPr>
          <w:rFonts w:hint="eastAsia" w:ascii="仿宋_GB2312" w:hAnsi="仿宋_GB2312" w:eastAsia="仿宋_GB2312" w:cs="仿宋_GB2312"/>
          <w:b w:val="0"/>
          <w:bCs w:val="0"/>
          <w:color w:val="auto"/>
          <w:kern w:val="2"/>
          <w:sz w:val="32"/>
          <w:szCs w:val="32"/>
          <w:lang w:val="zh-CN" w:eastAsia="zh-CN" w:bidi="ar-SA"/>
        </w:rPr>
      </w:pPr>
      <w:r>
        <w:rPr>
          <w:rFonts w:hint="default" w:ascii="Times New Roman" w:hAnsi="Times New Roman" w:eastAsia="仿宋_GB2312" w:cs="Times New Roman"/>
          <w:b/>
          <w:bCs/>
          <w:color w:val="auto"/>
          <w:kern w:val="2"/>
          <w:sz w:val="32"/>
          <w:szCs w:val="32"/>
          <w:lang w:val="en-US" w:eastAsia="zh-CN" w:bidi="ar-SA"/>
        </w:rPr>
        <w:t>4</w:t>
      </w:r>
      <w:r>
        <w:rPr>
          <w:rFonts w:hint="eastAsia" w:ascii="Times New Roman" w:hAnsi="Times New Roman" w:eastAsia="仿宋_GB2312" w:cs="Times New Roman"/>
          <w:b/>
          <w:bCs/>
          <w:color w:val="auto"/>
          <w:kern w:val="2"/>
          <w:sz w:val="32"/>
          <w:szCs w:val="32"/>
          <w:lang w:val="en-US" w:eastAsia="zh-CN" w:bidi="ar-SA"/>
        </w:rPr>
        <w:t>6</w:t>
      </w:r>
      <w:r>
        <w:rPr>
          <w:rFonts w:hint="eastAsia" w:ascii="仿宋_GB2312" w:hAnsi="仿宋_GB2312" w:eastAsia="仿宋_GB2312" w:cs="仿宋_GB2312"/>
          <w:b/>
          <w:bCs/>
          <w:color w:val="auto"/>
          <w:kern w:val="2"/>
          <w:sz w:val="32"/>
          <w:szCs w:val="32"/>
          <w:lang w:val="en-US" w:eastAsia="zh-CN" w:bidi="ar-SA"/>
        </w:rPr>
        <w:t>.电子软件企业税收优惠。</w:t>
      </w:r>
      <w:r>
        <w:rPr>
          <w:rFonts w:hint="eastAsia" w:ascii="仿宋_GB2312" w:hAnsi="仿宋_GB2312" w:eastAsia="仿宋_GB2312" w:cs="仿宋_GB2312"/>
          <w:b w:val="0"/>
          <w:bCs w:val="0"/>
          <w:color w:val="auto"/>
          <w:kern w:val="2"/>
          <w:sz w:val="32"/>
          <w:szCs w:val="32"/>
          <w:lang w:val="zh-CN" w:eastAsia="zh-CN" w:bidi="ar-SA"/>
        </w:rPr>
        <w:t>对在经济区内新注册开办，符合享受国家促进集成电路产业和软件产业高质量发展企业所得税税收优惠政策条件的企业，在国家规定的减征企业所得税期限内，免征属于地方分享部分的企业所得税。</w:t>
      </w:r>
    </w:p>
    <w:p>
      <w:pPr>
        <w:autoSpaceDE/>
        <w:autoSpaceDN/>
        <w:snapToGrid w:val="0"/>
        <w:spacing w:beforeLines="0" w:afterLines="0" w:line="620" w:lineRule="exact"/>
        <w:ind w:firstLine="642" w:firstLineChars="200"/>
        <w:jc w:val="both"/>
        <w:rPr>
          <w:rFonts w:hint="eastAsia" w:ascii="仿宋_GB2312" w:hAnsi="仿宋_GB2312" w:eastAsia="仿宋_GB2312" w:cs="仿宋_GB2312"/>
          <w:b w:val="0"/>
          <w:bCs w:val="0"/>
          <w:color w:val="auto"/>
          <w:spacing w:val="0"/>
          <w:kern w:val="2"/>
          <w:sz w:val="32"/>
          <w:szCs w:val="32"/>
          <w:lang w:val="zh-CN" w:eastAsia="zh-CN" w:bidi="ar-SA"/>
        </w:rPr>
      </w:pPr>
      <w:r>
        <w:rPr>
          <w:rFonts w:hint="default" w:ascii="Times New Roman" w:hAnsi="Times New Roman" w:eastAsia="仿宋_GB2312" w:cs="Times New Roman"/>
          <w:b/>
          <w:bCs/>
          <w:color w:val="auto"/>
          <w:kern w:val="2"/>
          <w:sz w:val="32"/>
          <w:szCs w:val="32"/>
          <w:lang w:val="en-US" w:eastAsia="zh-CN" w:bidi="ar-SA"/>
        </w:rPr>
        <w:t>4</w:t>
      </w:r>
      <w:r>
        <w:rPr>
          <w:rFonts w:hint="eastAsia" w:ascii="Times New Roman" w:hAnsi="Times New Roman" w:eastAsia="仿宋_GB2312" w:cs="Times New Roman"/>
          <w:b/>
          <w:bCs/>
          <w:color w:val="auto"/>
          <w:kern w:val="2"/>
          <w:sz w:val="32"/>
          <w:szCs w:val="32"/>
          <w:lang w:val="en-US" w:eastAsia="zh-CN" w:bidi="ar-SA"/>
        </w:rPr>
        <w:t>7</w:t>
      </w:r>
      <w:r>
        <w:rPr>
          <w:rFonts w:hint="eastAsia" w:ascii="仿宋_GB2312" w:hAnsi="仿宋_GB2312" w:eastAsia="仿宋_GB2312" w:cs="仿宋_GB2312"/>
          <w:b/>
          <w:bCs/>
          <w:color w:val="auto"/>
          <w:kern w:val="2"/>
          <w:sz w:val="32"/>
          <w:szCs w:val="32"/>
          <w:lang w:val="en-US" w:eastAsia="zh-CN" w:bidi="ar-SA"/>
        </w:rPr>
        <w:t>.小型微利企业税收优惠。</w:t>
      </w:r>
      <w:r>
        <w:rPr>
          <w:rFonts w:hint="eastAsia" w:ascii="仿宋_GB2312" w:hAnsi="仿宋_GB2312" w:eastAsia="仿宋_GB2312" w:cs="仿宋_GB2312"/>
          <w:b w:val="0"/>
          <w:bCs w:val="0"/>
          <w:color w:val="auto"/>
          <w:spacing w:val="6"/>
          <w:kern w:val="2"/>
          <w:sz w:val="32"/>
          <w:szCs w:val="32"/>
          <w:lang w:val="zh-CN" w:eastAsia="zh-CN" w:bidi="ar-SA"/>
        </w:rPr>
        <w:t>对在经济区内新注册开办，除</w:t>
      </w:r>
      <w:r>
        <w:rPr>
          <w:rFonts w:hint="eastAsia" w:ascii="仿宋_GB2312" w:hAnsi="仿宋_GB2312" w:eastAsia="仿宋_GB2312" w:cs="仿宋_GB2312"/>
          <w:b w:val="0"/>
          <w:bCs w:val="0"/>
          <w:color w:val="auto"/>
          <w:spacing w:val="0"/>
          <w:kern w:val="2"/>
          <w:sz w:val="32"/>
          <w:szCs w:val="32"/>
          <w:lang w:val="zh-CN" w:eastAsia="zh-CN" w:bidi="ar-SA"/>
        </w:rPr>
        <w:t>国家限制和淘汰类项目外的小型微利企业，自其取得第一笔收入所属纳税年度起，免征属于地方分享部分的企业所得税</w:t>
      </w:r>
      <w:r>
        <w:rPr>
          <w:rFonts w:hint="default" w:ascii="Times New Roman" w:hAnsi="Times New Roman" w:eastAsia="仿宋_GB2312" w:cs="Times New Roman"/>
          <w:b w:val="0"/>
          <w:bCs w:val="0"/>
          <w:color w:val="auto"/>
          <w:spacing w:val="0"/>
          <w:kern w:val="2"/>
          <w:sz w:val="32"/>
          <w:szCs w:val="32"/>
          <w:lang w:val="zh-CN" w:eastAsia="zh-CN" w:bidi="ar-SA"/>
        </w:rPr>
        <w:t>5</w:t>
      </w:r>
      <w:r>
        <w:rPr>
          <w:rFonts w:hint="eastAsia" w:ascii="仿宋_GB2312" w:hAnsi="仿宋_GB2312" w:eastAsia="仿宋_GB2312" w:cs="仿宋_GB2312"/>
          <w:b w:val="0"/>
          <w:bCs w:val="0"/>
          <w:color w:val="auto"/>
          <w:spacing w:val="0"/>
          <w:kern w:val="2"/>
          <w:sz w:val="32"/>
          <w:szCs w:val="32"/>
          <w:lang w:val="zh-CN" w:eastAsia="zh-CN" w:bidi="ar-SA"/>
        </w:rPr>
        <w:t>年。</w:t>
      </w:r>
    </w:p>
    <w:p>
      <w:pPr>
        <w:autoSpaceDE/>
        <w:autoSpaceDN/>
        <w:snapToGrid w:val="0"/>
        <w:spacing w:beforeLines="0" w:afterLines="0" w:line="620" w:lineRule="exact"/>
        <w:ind w:firstLine="642" w:firstLineChars="200"/>
        <w:jc w:val="both"/>
        <w:rPr>
          <w:rFonts w:hint="eastAsia" w:ascii="仿宋_GB2312" w:hAnsi="仿宋_GB2312" w:eastAsia="仿宋_GB2312" w:cs="仿宋_GB2312"/>
          <w:b w:val="0"/>
          <w:bCs w:val="0"/>
          <w:color w:val="auto"/>
          <w:kern w:val="2"/>
          <w:sz w:val="32"/>
          <w:szCs w:val="32"/>
          <w:lang w:val="zh-CN" w:eastAsia="zh-CN" w:bidi="ar-SA"/>
        </w:rPr>
      </w:pPr>
      <w:r>
        <w:rPr>
          <w:rFonts w:hint="default" w:ascii="Times New Roman" w:hAnsi="Times New Roman" w:eastAsia="仿宋_GB2312" w:cs="Times New Roman"/>
          <w:b/>
          <w:bCs/>
          <w:color w:val="auto"/>
          <w:kern w:val="2"/>
          <w:sz w:val="32"/>
          <w:szCs w:val="32"/>
          <w:lang w:val="en-US" w:eastAsia="zh-CN" w:bidi="ar-SA"/>
        </w:rPr>
        <w:t>4</w:t>
      </w:r>
      <w:r>
        <w:rPr>
          <w:rFonts w:hint="eastAsia" w:ascii="Times New Roman" w:hAnsi="Times New Roman" w:eastAsia="仿宋_GB2312" w:cs="Times New Roman"/>
          <w:b/>
          <w:bCs/>
          <w:color w:val="auto"/>
          <w:kern w:val="2"/>
          <w:sz w:val="32"/>
          <w:szCs w:val="32"/>
          <w:lang w:val="en-US" w:eastAsia="zh-CN" w:bidi="ar-SA"/>
        </w:rPr>
        <w:t>8</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zh-CN" w:eastAsia="zh-CN" w:bidi="ar-SA"/>
        </w:rPr>
        <w:t>物流企业</w:t>
      </w:r>
      <w:r>
        <w:rPr>
          <w:rFonts w:hint="eastAsia" w:ascii="仿宋_GB2312" w:hAnsi="仿宋_GB2312" w:eastAsia="仿宋_GB2312" w:cs="仿宋_GB2312"/>
          <w:b/>
          <w:bCs/>
          <w:color w:val="auto"/>
          <w:kern w:val="2"/>
          <w:sz w:val="32"/>
          <w:szCs w:val="32"/>
          <w:lang w:val="en-US" w:eastAsia="zh-CN" w:bidi="ar-SA"/>
        </w:rPr>
        <w:t>税收优惠。</w:t>
      </w:r>
      <w:r>
        <w:rPr>
          <w:rFonts w:hint="eastAsia" w:ascii="仿宋_GB2312" w:hAnsi="仿宋_GB2312" w:eastAsia="仿宋_GB2312" w:cs="仿宋_GB2312"/>
          <w:b w:val="0"/>
          <w:bCs w:val="0"/>
          <w:color w:val="auto"/>
          <w:kern w:val="2"/>
          <w:sz w:val="32"/>
          <w:szCs w:val="32"/>
          <w:lang w:val="zh-CN" w:eastAsia="zh-CN" w:bidi="ar-SA"/>
        </w:rPr>
        <w:t>对在经济区内新注册开办的大型仓储类物流企业以及专业运输企业，自其取得第一笔收入所属纳税年度起，第</w:t>
      </w:r>
      <w:r>
        <w:rPr>
          <w:rFonts w:hint="default" w:ascii="Times New Roman" w:hAnsi="Times New Roman" w:eastAsia="仿宋_GB2312" w:cs="Times New Roman"/>
          <w:b w:val="0"/>
          <w:bCs w:val="0"/>
          <w:color w:val="auto"/>
          <w:kern w:val="2"/>
          <w:sz w:val="32"/>
          <w:szCs w:val="32"/>
          <w:lang w:val="zh-CN" w:eastAsia="zh-CN" w:bidi="ar-SA"/>
        </w:rPr>
        <w:t>1</w:t>
      </w:r>
      <w:r>
        <w:rPr>
          <w:rFonts w:hint="eastAsia" w:ascii="仿宋_GB2312" w:hAnsi="仿宋_GB2312" w:eastAsia="仿宋_GB2312" w:cs="仿宋_GB2312"/>
          <w:b w:val="0"/>
          <w:bCs w:val="0"/>
          <w:color w:val="auto"/>
          <w:kern w:val="2"/>
          <w:sz w:val="32"/>
          <w:szCs w:val="32"/>
          <w:lang w:val="zh-CN" w:eastAsia="zh-CN" w:bidi="ar-SA"/>
        </w:rPr>
        <w:t>年至第</w:t>
      </w:r>
      <w:r>
        <w:rPr>
          <w:rFonts w:hint="default" w:ascii="Times New Roman" w:hAnsi="Times New Roman" w:eastAsia="仿宋_GB2312" w:cs="Times New Roman"/>
          <w:b w:val="0"/>
          <w:bCs w:val="0"/>
          <w:color w:val="auto"/>
          <w:kern w:val="2"/>
          <w:sz w:val="32"/>
          <w:szCs w:val="32"/>
          <w:lang w:val="zh-CN" w:eastAsia="zh-CN" w:bidi="ar-SA"/>
        </w:rPr>
        <w:t>2</w:t>
      </w:r>
      <w:r>
        <w:rPr>
          <w:rFonts w:hint="eastAsia" w:ascii="仿宋_GB2312" w:hAnsi="仿宋_GB2312" w:eastAsia="仿宋_GB2312" w:cs="仿宋_GB2312"/>
          <w:b w:val="0"/>
          <w:bCs w:val="0"/>
          <w:color w:val="auto"/>
          <w:kern w:val="2"/>
          <w:sz w:val="32"/>
          <w:szCs w:val="32"/>
          <w:lang w:val="zh-CN" w:eastAsia="zh-CN" w:bidi="ar-SA"/>
        </w:rPr>
        <w:t>年免征、第</w:t>
      </w:r>
      <w:r>
        <w:rPr>
          <w:rFonts w:hint="default" w:ascii="Times New Roman" w:hAnsi="Times New Roman" w:eastAsia="仿宋_GB2312" w:cs="Times New Roman"/>
          <w:b w:val="0"/>
          <w:bCs w:val="0"/>
          <w:color w:val="auto"/>
          <w:kern w:val="2"/>
          <w:sz w:val="32"/>
          <w:szCs w:val="32"/>
          <w:lang w:val="zh-CN" w:eastAsia="zh-CN" w:bidi="ar-SA"/>
        </w:rPr>
        <w:t>3</w:t>
      </w:r>
      <w:r>
        <w:rPr>
          <w:rFonts w:hint="eastAsia" w:ascii="仿宋_GB2312" w:hAnsi="仿宋_GB2312" w:eastAsia="仿宋_GB2312" w:cs="仿宋_GB2312"/>
          <w:b w:val="0"/>
          <w:bCs w:val="0"/>
          <w:color w:val="auto"/>
          <w:kern w:val="2"/>
          <w:sz w:val="32"/>
          <w:szCs w:val="32"/>
          <w:lang w:val="zh-CN" w:eastAsia="zh-CN" w:bidi="ar-SA"/>
        </w:rPr>
        <w:t>年至第</w:t>
      </w:r>
      <w:r>
        <w:rPr>
          <w:rFonts w:hint="default" w:ascii="Times New Roman" w:hAnsi="Times New Roman" w:eastAsia="仿宋_GB2312" w:cs="Times New Roman"/>
          <w:b w:val="0"/>
          <w:bCs w:val="0"/>
          <w:color w:val="auto"/>
          <w:kern w:val="2"/>
          <w:sz w:val="32"/>
          <w:szCs w:val="32"/>
          <w:lang w:val="zh-CN" w:eastAsia="zh-CN" w:bidi="ar-SA"/>
        </w:rPr>
        <w:t>5</w:t>
      </w:r>
      <w:r>
        <w:rPr>
          <w:rFonts w:hint="eastAsia" w:ascii="仿宋_GB2312" w:hAnsi="仿宋_GB2312" w:eastAsia="仿宋_GB2312" w:cs="仿宋_GB2312"/>
          <w:b w:val="0"/>
          <w:bCs w:val="0"/>
          <w:color w:val="auto"/>
          <w:kern w:val="2"/>
          <w:sz w:val="32"/>
          <w:szCs w:val="32"/>
          <w:lang w:val="zh-CN" w:eastAsia="zh-CN" w:bidi="ar-SA"/>
        </w:rPr>
        <w:t>年减半征收属于地方分享部分的企业所得税。对在经济区内新注册开办的冷链物流企业，自其取得第一笔收入所属纳税年度起，免征属于地方分享部分的企业所得税</w:t>
      </w:r>
      <w:r>
        <w:rPr>
          <w:rFonts w:hint="default" w:ascii="Times New Roman" w:hAnsi="Times New Roman" w:eastAsia="仿宋_GB2312" w:cs="Times New Roman"/>
          <w:b w:val="0"/>
          <w:bCs w:val="0"/>
          <w:color w:val="auto"/>
          <w:kern w:val="2"/>
          <w:sz w:val="32"/>
          <w:szCs w:val="32"/>
          <w:lang w:val="zh-CN" w:eastAsia="zh-CN" w:bidi="ar-SA"/>
        </w:rPr>
        <w:t>5</w:t>
      </w:r>
      <w:r>
        <w:rPr>
          <w:rFonts w:hint="eastAsia" w:ascii="仿宋_GB2312" w:hAnsi="仿宋_GB2312" w:eastAsia="仿宋_GB2312" w:cs="仿宋_GB2312"/>
          <w:b w:val="0"/>
          <w:bCs w:val="0"/>
          <w:color w:val="auto"/>
          <w:kern w:val="2"/>
          <w:sz w:val="32"/>
          <w:szCs w:val="32"/>
          <w:lang w:val="zh-CN" w:eastAsia="zh-CN" w:bidi="ar-SA"/>
        </w:rPr>
        <w:t>年。</w:t>
      </w:r>
    </w:p>
    <w:p>
      <w:pPr>
        <w:autoSpaceDE/>
        <w:autoSpaceDN/>
        <w:snapToGrid w:val="0"/>
        <w:spacing w:beforeLines="0" w:afterLines="0" w:line="620" w:lineRule="exact"/>
        <w:jc w:val="both"/>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《广西壮族自治区人民政府印发关于促进新时代广西北部湾经济区高水平开放高质量发展若干政策的通知》（桂政发〔</w:t>
      </w:r>
      <w:r>
        <w:rPr>
          <w:rFonts w:hint="default" w:ascii="Times New Roman" w:hAnsi="Times New Roman" w:eastAsia="仿宋_GB2312" w:cs="Times New Roman"/>
          <w:b/>
          <w:bCs/>
          <w:color w:val="auto"/>
          <w:kern w:val="2"/>
          <w:sz w:val="32"/>
          <w:szCs w:val="32"/>
          <w:lang w:val="en-US" w:eastAsia="zh-CN" w:bidi="ar-SA"/>
        </w:rPr>
        <w:t>2020</w:t>
      </w:r>
      <w:r>
        <w:rPr>
          <w:rFonts w:hint="eastAsia" w:ascii="仿宋_GB2312" w:hAnsi="仿宋_GB2312" w:eastAsia="仿宋_GB2312" w:cs="仿宋_GB2312"/>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42</w:t>
      </w:r>
      <w:r>
        <w:rPr>
          <w:rFonts w:hint="eastAsia" w:ascii="仿宋_GB2312" w:hAnsi="仿宋_GB2312" w:eastAsia="仿宋_GB2312" w:cs="仿宋_GB2312"/>
          <w:b/>
          <w:bCs/>
          <w:color w:val="auto"/>
          <w:kern w:val="2"/>
          <w:sz w:val="32"/>
          <w:szCs w:val="32"/>
          <w:lang w:val="en-US" w:eastAsia="zh-CN" w:bidi="ar-SA"/>
        </w:rPr>
        <w:t>号）</w:t>
      </w:r>
    </w:p>
    <w:p>
      <w:pPr>
        <w:pStyle w:val="3"/>
        <w:spacing w:beforeLines="0" w:beforeAutospacing="0" w:afterLines="0" w:afterAutospacing="0" w:line="620" w:lineRule="exact"/>
        <w:ind w:firstLine="643"/>
        <w:rPr>
          <w:rFonts w:hint="default" w:ascii="Times New Roman" w:hAnsi="Times New Roman" w:eastAsia="仿宋_GB2312" w:cs="Times New Roman"/>
          <w:b/>
          <w:bCs/>
          <w:color w:val="auto"/>
          <w:kern w:val="2"/>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（三）中国—东盟产业合作区政策</w:t>
      </w:r>
      <w:r>
        <w:rPr>
          <w:rFonts w:hint="default" w:ascii="Times New Roman" w:hAnsi="Times New Roman" w:eastAsia="仿宋_GB2312" w:cs="Times New Roman"/>
          <w:b/>
          <w:bCs/>
          <w:color w:val="auto"/>
          <w:kern w:val="2"/>
          <w:sz w:val="32"/>
          <w:szCs w:val="32"/>
          <w:lang w:val="en-US" w:eastAsia="zh-CN" w:bidi="ar-SA"/>
        </w:rPr>
        <w:t>主要条款</w:t>
      </w:r>
    </w:p>
    <w:p>
      <w:pPr>
        <w:pStyle w:val="3"/>
        <w:spacing w:beforeLines="0" w:beforeAutospacing="0" w:afterLines="0" w:afterAutospacing="0" w:line="620" w:lineRule="exact"/>
        <w:ind w:firstLine="643"/>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49.</w:t>
      </w:r>
      <w:r>
        <w:rPr>
          <w:rFonts w:hint="default" w:ascii="Times New Roman" w:hAnsi="Times New Roman" w:eastAsia="仿宋_GB2312" w:cs="Times New Roman"/>
          <w:b/>
          <w:bCs/>
          <w:color w:val="auto"/>
          <w:kern w:val="2"/>
          <w:sz w:val="32"/>
          <w:szCs w:val="32"/>
          <w:lang w:val="en-US" w:eastAsia="zh-CN" w:bidi="ar-SA"/>
        </w:rPr>
        <w:t>企业所得税</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新办产业法人企业，企业所得税地方分享部分享受“五免五减半”政策。</w:t>
      </w:r>
    </w:p>
    <w:p>
      <w:pPr>
        <w:pStyle w:val="3"/>
        <w:spacing w:beforeLines="0" w:beforeAutospacing="0" w:afterLines="0" w:afterAutospacing="0" w:line="620" w:lineRule="exact"/>
        <w:ind w:firstLine="643"/>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50.增值税</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综合保税区内制造业企业，享受增值税退税、免征增值税等政策。</w:t>
      </w:r>
    </w:p>
    <w:p>
      <w:pPr>
        <w:pStyle w:val="3"/>
        <w:spacing w:beforeLines="0" w:beforeAutospacing="0" w:afterLines="0" w:afterAutospacing="0" w:line="620" w:lineRule="exact"/>
        <w:ind w:firstLine="643"/>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51.财政扶持</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获得国家初次认定的制造业单项冠军企业和专精特新“小巨人”企业,给予不超过100万元的一次性奖励。</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支持符合条件的工业企业设备更新,按不超过设备投资的10%予以资金补助,单个项目最高不超过1000万元。</w:t>
      </w:r>
    </w:p>
    <w:p>
      <w:pPr>
        <w:pStyle w:val="3"/>
        <w:spacing w:beforeLines="0" w:beforeAutospacing="0" w:afterLines="0" w:afterAutospacing="0" w:line="620" w:lineRule="exact"/>
        <w:ind w:firstLine="643"/>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52.金融支持</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符合条件的“双百双新”产业项目、“千企技改’工程项目，予以最高不超过1亿元的融资贴息补助。</w:t>
      </w:r>
    </w:p>
    <w:p>
      <w:pPr>
        <w:pStyle w:val="3"/>
        <w:spacing w:beforeLines="0" w:beforeAutospacing="0" w:afterLines="0" w:afterAutospacing="0" w:line="620" w:lineRule="exact"/>
        <w:ind w:firstLine="643"/>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53.创新支持</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对制造业关键核心技术产业化项目和制造业创新成果大规模工业化应用项目,自治区给予单个项目不超过5000万元的支持。</w:t>
      </w:r>
    </w:p>
    <w:p>
      <w:pPr>
        <w:rPr>
          <w:rFonts w:hint="eastAsia"/>
          <w:lang w:val="en-US" w:eastAsia="zh-CN"/>
        </w:rPr>
      </w:pPr>
    </w:p>
    <w:p>
      <w:pPr>
        <w:pStyle w:val="3"/>
        <w:spacing w:beforeLines="0" w:beforeAutospacing="0" w:afterLines="0" w:afterAutospacing="0" w:line="620" w:lineRule="exact"/>
        <w:ind w:firstLine="643"/>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54.</w:t>
      </w:r>
      <w:r>
        <w:rPr>
          <w:rFonts w:hint="default" w:ascii="Times New Roman" w:hAnsi="Times New Roman" w:eastAsia="仿宋_GB2312" w:cs="Times New Roman"/>
          <w:b/>
          <w:bCs/>
          <w:color w:val="auto"/>
          <w:kern w:val="2"/>
          <w:sz w:val="32"/>
          <w:szCs w:val="32"/>
          <w:lang w:val="en-US" w:eastAsia="zh-CN" w:bidi="ar-SA"/>
        </w:rPr>
        <w:t>用地支持</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对于符合条件的重点项目,新增建设用地计划指标由自治区统筹予以保障。</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支持采取长期租赁、先租后让、弹性年期出让等供应产业用地,大力推行“供地即开工”。</w:t>
      </w:r>
    </w:p>
    <w:p>
      <w:pPr>
        <w:pStyle w:val="3"/>
        <w:spacing w:beforeLines="0" w:beforeAutospacing="0" w:afterLines="0" w:afterAutospacing="0" w:line="620" w:lineRule="exact"/>
        <w:ind w:firstLine="643"/>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55.用工支持</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开展“点对点”送工服务,保障重点企业、重点园区,重点行业用工需求。</w:t>
      </w:r>
    </w:p>
    <w:p>
      <w:pPr>
        <w:pStyle w:val="3"/>
        <w:spacing w:beforeLines="0" w:beforeAutospacing="0" w:afterLines="0" w:afterAutospacing="0" w:line="620" w:lineRule="exact"/>
        <w:ind w:firstLine="643"/>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56.交通便利</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对进出北部湾港和东兴、友谊关、凭祥3个公路铁路口岸的国际标准集装箱车辆通行费实行4.5折优惠等。</w:t>
      </w:r>
    </w:p>
    <w:p>
      <w:pPr>
        <w:pStyle w:val="3"/>
        <w:spacing w:beforeLines="0" w:beforeAutospacing="0" w:afterLines="0" w:afterAutospacing="0" w:line="620" w:lineRule="exact"/>
        <w:ind w:firstLine="643"/>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57.特殊产业政策</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（1）集成电路和软件产业支持</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国家鼓励的集成电路设计、装备、材料、封装、测试企业和软件企业，自获利年度起，第一年至第二年免征企业所得税，第三年至第五年按照25%的法定税率减半征收企业所得税。</w:t>
      </w:r>
    </w:p>
    <w:p>
      <w:pPr>
        <w:pStyle w:val="3"/>
        <w:spacing w:beforeLines="0" w:beforeAutospacing="0" w:afterLines="0" w:afterAutospacing="0" w:line="620" w:lineRule="exact"/>
        <w:ind w:firstLine="643"/>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（2）医疗器械支持</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广西第二类医疗器械技术审评审批时限速度居全国领先水平。第二类医疗器械首次注册技术审评平均时限由法定 60 个工作日缩减至 28 个工作日。行政审批时限由法定 20 个工作日缩减至8个工作日。</w:t>
      </w:r>
    </w:p>
    <w:p>
      <w:pPr>
        <w:pStyle w:val="3"/>
        <w:spacing w:beforeLines="0" w:beforeAutospacing="0" w:afterLines="0" w:afterAutospacing="0" w:line="620" w:lineRule="exact"/>
        <w:ind w:firstLine="643"/>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58.产业园区平台融资支持</w:t>
      </w:r>
    </w:p>
    <w:p>
      <w:pPr>
        <w:numPr>
          <w:ilvl w:val="0"/>
          <w:numId w:val="0"/>
        </w:numPr>
        <w:spacing w:beforeLines="0" w:afterLines="0" w:line="620" w:lineRule="exact"/>
        <w:ind w:firstLine="640"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支持符合条件的合作区产业园区平台企业通过上市融资、发行债券等方式拓宽直接融资渠道，支持其通过境外发债、境外关联公司或非关联公司直接融资等方式，发行创新创业公司债、科创债进行直接融资，多渠道筹集低成本资金。</w:t>
      </w:r>
    </w:p>
    <w:p>
      <w:pPr>
        <w:pStyle w:val="3"/>
        <w:spacing w:beforeLines="0" w:beforeAutospacing="0" w:afterLines="0" w:afterAutospacing="0" w:line="620" w:lineRule="exact"/>
        <w:ind w:firstLine="643"/>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59.企业购买科技成果产业化后补助</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购买科技成果的技术交易不属于关联交易的:购买科技成果进行产业化，实现年新增销售收入在500万元以下的项目，补助技术交易金额的20%，补助额度不超过200万元及年新增销售收入;购买科技成果进行产业化，实现年新增销售收入在500万元(含)至1000万元的项目，补助技术交易金额的30%，补助额度不超过300万元;购买科技成果进行产业化，实现年新增销售收入在1000万元(含)以上的项目，补助技术交易金额的40%，补助额度不超过 400万元。属于关联交易的:购买科技成果进行产业化，实现年新增销售收入在500万元以下的项目，补助年新增销售收入的2%;购买科技成果进行产业化，实现年新增销售收入在500万元(含)至1000万元的项目，补助年新增销售收入的3%;类项目:购买科技成果进行产业化，实现年新增销售收入在1000万元(含)以上的项目，补助年新增销售收入的4%，补助额度不超过 400万元。</w:t>
      </w:r>
    </w:p>
    <w:p>
      <w:pPr>
        <w:pStyle w:val="3"/>
        <w:spacing w:beforeLines="0" w:beforeAutospacing="0" w:afterLines="0" w:afterAutospacing="0" w:line="620" w:lineRule="exact"/>
        <w:ind w:firstLine="643"/>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60.支持制造业企业梯度发展</w:t>
      </w:r>
    </w:p>
    <w:p>
      <w:pPr>
        <w:pStyle w:val="3"/>
        <w:spacing w:beforeLines="0" w:beforeAutospacing="0" w:afterLines="0" w:afterAutospacing="0" w:line="620" w:lineRule="exact"/>
        <w:ind w:firstLine="643"/>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支持国家制造业单项冠军企业、专精特新“小巨人”企业和自治区链主企业、龙头企业、制造业单项冠军企业、专精特新中小企业、战略性新兴产业企业等制造业企业梯度发展。对上述企业实施的鼓励类产业项目，支持按程序纳入自治区层面统筹推进重大项目、“双百双新”产业项目以及国家基金投放项目，用地、用林等指标由自治区层面予以统筹保障，并在项目投资补助、项目融资、“智改数转”等方面给子支持;鼓励各级银行金融机构加大对企业的流动资金、项目资金等融资支持力度，支持企业开展供应链金融业务;各级政府产业基金加大力度支持企业发展。加强企业能源电力保障。支持链主企业和龙头企业通过委托外包、市场采购、投资合作等方式招引上下游关联优质企业落地，提高向中小企业采购额度。</w:t>
      </w:r>
    </w:p>
    <w:p>
      <w:pPr>
        <w:numPr>
          <w:ilvl w:val="0"/>
          <w:numId w:val="0"/>
        </w:numPr>
        <w:spacing w:beforeLines="0" w:afterLines="0" w:line="62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《广西壮族自治区人民政府办公厅关于印发促进中国一东盟产业合作区建设若干政策措施的通知》(桂政办〔2023〕68号)</w:t>
      </w:r>
    </w:p>
    <w:p>
      <w:pPr>
        <w:pStyle w:val="3"/>
        <w:spacing w:beforeLines="0" w:beforeAutospacing="0" w:afterLines="0" w:afterAutospacing="0" w:line="620" w:lineRule="exact"/>
        <w:ind w:firstLine="643"/>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（四）经济技术开发区政策</w:t>
      </w:r>
    </w:p>
    <w:p>
      <w:pPr>
        <w:numPr>
          <w:ilvl w:val="0"/>
          <w:numId w:val="0"/>
        </w:numPr>
        <w:spacing w:beforeLines="0" w:afterLines="0" w:line="620" w:lineRule="exact"/>
        <w:ind w:firstLine="642" w:firstLineChars="200"/>
        <w:jc w:val="both"/>
        <w:rPr>
          <w:rFonts w:hint="eastAsia" w:ascii="仿宋_GB2312" w:hAnsi="仿宋_GB2312" w:eastAsia="仿宋_GB2312" w:cs="仿宋_GB2312"/>
          <w:b/>
          <w:bCs/>
          <w:color w:val="auto"/>
          <w:spacing w:val="6"/>
          <w:sz w:val="32"/>
          <w:szCs w:val="32"/>
          <w:lang w:val="en-US" w:eastAsia="zh-CN"/>
        </w:rPr>
      </w:pPr>
      <w:r>
        <w:rPr>
          <w:rFonts w:hint="eastAsia" w:ascii="Times New Roman" w:hAnsi="Times New Roman" w:eastAsia="仿宋_GB2312" w:cs="Times New Roman"/>
          <w:b/>
          <w:bCs/>
          <w:color w:val="auto"/>
          <w:sz w:val="32"/>
          <w:szCs w:val="32"/>
          <w:lang w:val="en-US" w:eastAsia="zh-CN"/>
        </w:rPr>
        <w:t>61</w:t>
      </w:r>
      <w:r>
        <w:rPr>
          <w:rFonts w:hint="eastAsia" w:ascii="仿宋_GB2312" w:hAnsi="仿宋_GB2312" w:eastAsia="仿宋_GB2312" w:cs="仿宋_GB2312"/>
          <w:b/>
          <w:bCs/>
          <w:color w:val="auto"/>
          <w:sz w:val="32"/>
          <w:szCs w:val="32"/>
          <w:lang w:val="en-US" w:eastAsia="zh-CN"/>
        </w:rPr>
        <w:t>.支持经开区产业集聚。</w:t>
      </w:r>
      <w:r>
        <w:rPr>
          <w:rFonts w:hint="eastAsia" w:ascii="仿宋_GB2312" w:hAnsi="仿宋_GB2312" w:eastAsia="仿宋_GB2312" w:cs="仿宋_GB2312"/>
          <w:b w:val="0"/>
          <w:bCs w:val="0"/>
          <w:color w:val="auto"/>
          <w:sz w:val="32"/>
          <w:szCs w:val="32"/>
          <w:lang w:val="en-US" w:eastAsia="zh-CN"/>
        </w:rPr>
        <w:t>为发挥经开区内原有企业“以商招商”的作用，带动吸引上下游企业聚集，加快培育经开区产业集群，强化产业链项目引进，推动经开区建链、补链、延链，提出对经开区内原有企业引进供应商或合作伙伴在经开区注册经营，被引进企业实际投资额达到</w:t>
      </w:r>
      <w:r>
        <w:rPr>
          <w:rFonts w:hint="default" w:ascii="Times New Roman" w:hAnsi="Times New Roman" w:eastAsia="仿宋_GB2312" w:cs="Times New Roman"/>
          <w:b w:val="0"/>
          <w:bCs w:val="0"/>
          <w:color w:val="auto"/>
          <w:sz w:val="32"/>
          <w:szCs w:val="32"/>
          <w:lang w:val="en-US" w:eastAsia="zh-CN"/>
        </w:rPr>
        <w:t>5000</w:t>
      </w:r>
      <w:r>
        <w:rPr>
          <w:rFonts w:hint="eastAsia" w:ascii="仿宋_GB2312" w:hAnsi="仿宋_GB2312" w:eastAsia="仿宋_GB2312" w:cs="仿宋_GB2312"/>
          <w:b w:val="0"/>
          <w:bCs w:val="0"/>
          <w:color w:val="auto"/>
          <w:sz w:val="32"/>
          <w:szCs w:val="32"/>
          <w:lang w:val="en-US" w:eastAsia="zh-CN"/>
        </w:rPr>
        <w:t>万元人民币以上且投资产业不涉及禁止和限制类的，按实际投资额的</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给予原有企业一次性奖励。鼓励试行“招商大使”制度。鼓励经开区通过聘请国内外知名人士和企业家建立招商大使制度，进一步拓展经开区引</w:t>
      </w:r>
      <w:r>
        <w:rPr>
          <w:rFonts w:hint="eastAsia" w:ascii="仿宋_GB2312" w:hAnsi="仿宋_GB2312" w:eastAsia="仿宋_GB2312" w:cs="仿宋_GB2312"/>
          <w:b w:val="0"/>
          <w:bCs w:val="0"/>
          <w:color w:val="auto"/>
          <w:spacing w:val="6"/>
          <w:sz w:val="32"/>
          <w:szCs w:val="32"/>
          <w:lang w:val="en-US" w:eastAsia="zh-CN"/>
        </w:rPr>
        <w:t>资渠道和招商资源。对成功引进产业项目落户的“招商大使”，由项目所在地设区市人民政府给予奖励。支持经开区优化外商投资导向。鼓励外资项目向经开区布局，提出将符合外资鼓励类产业或经开区主导产业发展方向（不含金融业）且自然年内实际利用外资超过</w:t>
      </w:r>
      <w:r>
        <w:rPr>
          <w:rFonts w:hint="default" w:ascii="Times New Roman" w:hAnsi="Times New Roman" w:eastAsia="仿宋_GB2312" w:cs="Times New Roman"/>
          <w:b w:val="0"/>
          <w:bCs w:val="0"/>
          <w:color w:val="auto"/>
          <w:spacing w:val="6"/>
          <w:sz w:val="32"/>
          <w:szCs w:val="32"/>
          <w:lang w:val="en-US" w:eastAsia="zh-CN"/>
        </w:rPr>
        <w:t>2000</w:t>
      </w:r>
      <w:r>
        <w:rPr>
          <w:rFonts w:hint="eastAsia" w:ascii="仿宋_GB2312" w:hAnsi="仿宋_GB2312" w:eastAsia="仿宋_GB2312" w:cs="仿宋_GB2312"/>
          <w:b w:val="0"/>
          <w:bCs w:val="0"/>
          <w:color w:val="auto"/>
          <w:spacing w:val="6"/>
          <w:sz w:val="32"/>
          <w:szCs w:val="32"/>
          <w:lang w:val="en-US" w:eastAsia="zh-CN"/>
        </w:rPr>
        <w:t>万美元的新设或增资项目、超过</w:t>
      </w:r>
      <w:r>
        <w:rPr>
          <w:rFonts w:hint="default" w:ascii="Times New Roman" w:hAnsi="Times New Roman" w:eastAsia="仿宋_GB2312" w:cs="Times New Roman"/>
          <w:b w:val="0"/>
          <w:bCs w:val="0"/>
          <w:color w:val="auto"/>
          <w:spacing w:val="6"/>
          <w:sz w:val="32"/>
          <w:szCs w:val="32"/>
          <w:lang w:val="en-US" w:eastAsia="zh-CN"/>
        </w:rPr>
        <w:t>1000</w:t>
      </w:r>
      <w:r>
        <w:rPr>
          <w:rFonts w:hint="eastAsia" w:ascii="仿宋_GB2312" w:hAnsi="仿宋_GB2312" w:eastAsia="仿宋_GB2312" w:cs="仿宋_GB2312"/>
          <w:b w:val="0"/>
          <w:bCs w:val="0"/>
          <w:color w:val="auto"/>
          <w:spacing w:val="6"/>
          <w:sz w:val="32"/>
          <w:szCs w:val="32"/>
          <w:lang w:val="en-US" w:eastAsia="zh-CN"/>
        </w:rPr>
        <w:t>万美元的外资跨国公司总部或地区总部，按其实际到位外资的</w:t>
      </w:r>
      <w:r>
        <w:rPr>
          <w:rFonts w:hint="default" w:ascii="Times New Roman" w:hAnsi="Times New Roman" w:eastAsia="仿宋_GB2312" w:cs="Times New Roman"/>
          <w:b w:val="0"/>
          <w:bCs w:val="0"/>
          <w:color w:val="auto"/>
          <w:spacing w:val="6"/>
          <w:sz w:val="32"/>
          <w:szCs w:val="32"/>
          <w:lang w:val="en-US" w:eastAsia="zh-CN"/>
        </w:rPr>
        <w:t>2%</w:t>
      </w:r>
      <w:r>
        <w:rPr>
          <w:rFonts w:hint="eastAsia" w:ascii="仿宋_GB2312" w:hAnsi="仿宋_GB2312" w:eastAsia="仿宋_GB2312" w:cs="仿宋_GB2312"/>
          <w:b w:val="0"/>
          <w:bCs w:val="0"/>
          <w:color w:val="auto"/>
          <w:spacing w:val="6"/>
          <w:sz w:val="32"/>
          <w:szCs w:val="32"/>
          <w:lang w:val="en-US" w:eastAsia="zh-CN"/>
        </w:rPr>
        <w:t>给予一次性奖励，推动外资项目向经开区集聚。推动经开区科技创新能力提升。对经开区内首次进入独角兽企业培育库的企业，每家给予</w:t>
      </w:r>
      <w:r>
        <w:rPr>
          <w:rFonts w:hint="default" w:ascii="Times New Roman" w:hAnsi="Times New Roman" w:eastAsia="仿宋_GB2312" w:cs="Times New Roman"/>
          <w:b w:val="0"/>
          <w:bCs w:val="0"/>
          <w:color w:val="auto"/>
          <w:spacing w:val="6"/>
          <w:sz w:val="32"/>
          <w:szCs w:val="32"/>
          <w:lang w:val="en-US" w:eastAsia="zh-CN"/>
        </w:rPr>
        <w:t>100</w:t>
      </w:r>
      <w:r>
        <w:rPr>
          <w:rFonts w:hint="eastAsia" w:ascii="仿宋_GB2312" w:hAnsi="仿宋_GB2312" w:eastAsia="仿宋_GB2312" w:cs="仿宋_GB2312"/>
          <w:b w:val="0"/>
          <w:bCs w:val="0"/>
          <w:color w:val="auto"/>
          <w:spacing w:val="6"/>
          <w:sz w:val="32"/>
          <w:szCs w:val="32"/>
          <w:lang w:val="en-US" w:eastAsia="zh-CN"/>
        </w:rPr>
        <w:t>万元财政资金前资助；对进入专业机构发布的独角兽企业榜单的企业，每家给予</w:t>
      </w:r>
      <w:r>
        <w:rPr>
          <w:rFonts w:hint="default" w:ascii="Times New Roman" w:hAnsi="Times New Roman" w:eastAsia="仿宋_GB2312" w:cs="Times New Roman"/>
          <w:b w:val="0"/>
          <w:bCs w:val="0"/>
          <w:color w:val="auto"/>
          <w:spacing w:val="6"/>
          <w:sz w:val="32"/>
          <w:szCs w:val="32"/>
          <w:lang w:val="en-US" w:eastAsia="zh-CN"/>
        </w:rPr>
        <w:t>400</w:t>
      </w:r>
      <w:r>
        <w:rPr>
          <w:rFonts w:hint="eastAsia" w:ascii="仿宋_GB2312" w:hAnsi="仿宋_GB2312" w:eastAsia="仿宋_GB2312" w:cs="仿宋_GB2312"/>
          <w:b w:val="0"/>
          <w:bCs w:val="0"/>
          <w:color w:val="auto"/>
          <w:spacing w:val="6"/>
          <w:sz w:val="32"/>
          <w:szCs w:val="32"/>
          <w:lang w:val="en-US" w:eastAsia="zh-CN"/>
        </w:rPr>
        <w:t>万元财政资金后补助。对经开区内新认定的自治区级新型研发机构，国家级实验室、技术创新中心、工程研究中心等科技创新平台，获得国家科技重大专项和重点研发计划项目的企业给予不同程度的财政资金补助。</w:t>
      </w:r>
      <w:r>
        <w:rPr>
          <w:rFonts w:hint="eastAsia" w:ascii="仿宋_GB2312" w:hAnsi="仿宋_GB2312" w:eastAsia="仿宋_GB2312" w:cs="仿宋_GB2312"/>
          <w:b/>
          <w:bCs/>
          <w:color w:val="auto"/>
          <w:spacing w:val="6"/>
          <w:sz w:val="32"/>
          <w:szCs w:val="32"/>
          <w:lang w:val="en-US" w:eastAsia="zh-CN"/>
        </w:rPr>
        <w:t>《广西壮族自治区人民政府关于推进经济技术开发区创新提升打造改革开放新高地的实施意见》（桂政发〔</w:t>
      </w:r>
      <w:r>
        <w:rPr>
          <w:rFonts w:hint="default" w:ascii="Times New Roman" w:hAnsi="Times New Roman" w:eastAsia="仿宋_GB2312" w:cs="Times New Roman"/>
          <w:b/>
          <w:bCs/>
          <w:color w:val="auto"/>
          <w:spacing w:val="6"/>
          <w:sz w:val="32"/>
          <w:szCs w:val="32"/>
          <w:lang w:val="en-US" w:eastAsia="zh-CN"/>
        </w:rPr>
        <w:t>2019</w:t>
      </w:r>
      <w:r>
        <w:rPr>
          <w:rFonts w:hint="eastAsia" w:ascii="仿宋_GB2312" w:hAnsi="仿宋_GB2312" w:eastAsia="仿宋_GB2312" w:cs="仿宋_GB2312"/>
          <w:b/>
          <w:bCs/>
          <w:color w:val="auto"/>
          <w:spacing w:val="6"/>
          <w:sz w:val="32"/>
          <w:szCs w:val="32"/>
          <w:lang w:val="en-US" w:eastAsia="zh-CN"/>
        </w:rPr>
        <w:t>〕</w:t>
      </w:r>
      <w:r>
        <w:rPr>
          <w:rFonts w:hint="default" w:ascii="Times New Roman" w:hAnsi="Times New Roman" w:eastAsia="仿宋_GB2312" w:cs="Times New Roman"/>
          <w:b/>
          <w:bCs/>
          <w:color w:val="auto"/>
          <w:spacing w:val="6"/>
          <w:sz w:val="32"/>
          <w:szCs w:val="32"/>
          <w:lang w:val="en-US" w:eastAsia="zh-CN"/>
        </w:rPr>
        <w:t>44</w:t>
      </w:r>
      <w:r>
        <w:rPr>
          <w:rFonts w:hint="eastAsia" w:ascii="仿宋_GB2312" w:hAnsi="仿宋_GB2312" w:eastAsia="仿宋_GB2312" w:cs="仿宋_GB2312"/>
          <w:b/>
          <w:bCs/>
          <w:color w:val="auto"/>
          <w:spacing w:val="6"/>
          <w:sz w:val="32"/>
          <w:szCs w:val="32"/>
          <w:lang w:val="en-US" w:eastAsia="zh-CN"/>
        </w:rPr>
        <w:t>号）</w:t>
      </w:r>
    </w:p>
    <w:p>
      <w:pPr>
        <w:pStyle w:val="2"/>
        <w:rPr>
          <w:rFonts w:hint="eastAsia" w:ascii="仿宋_GB2312" w:hAnsi="仿宋_GB2312" w:eastAsia="仿宋_GB2312" w:cs="仿宋_GB2312"/>
          <w:b/>
          <w:bCs/>
          <w:color w:val="auto"/>
          <w:spacing w:val="6"/>
          <w:sz w:val="32"/>
          <w:szCs w:val="32"/>
          <w:lang w:val="en-US" w:eastAsia="zh-CN"/>
        </w:rPr>
      </w:pPr>
    </w:p>
    <w:p>
      <w:pPr>
        <w:pStyle w:val="2"/>
        <w:rPr>
          <w:rFonts w:hint="eastAsia" w:ascii="仿宋_GB2312" w:hAnsi="仿宋_GB2312" w:eastAsia="仿宋_GB2312" w:cs="仿宋_GB2312"/>
          <w:b/>
          <w:bCs/>
          <w:color w:val="auto"/>
          <w:spacing w:val="6"/>
          <w:sz w:val="32"/>
          <w:szCs w:val="32"/>
          <w:lang w:val="en-US" w:eastAsia="zh-CN"/>
        </w:rPr>
      </w:pPr>
    </w:p>
    <w:p>
      <w:pPr>
        <w:pStyle w:val="2"/>
        <w:rPr>
          <w:rFonts w:hint="eastAsia" w:ascii="仿宋_GB2312" w:hAnsi="仿宋_GB2312" w:eastAsia="仿宋_GB2312" w:cs="仿宋_GB2312"/>
          <w:b/>
          <w:bCs/>
          <w:color w:val="auto"/>
          <w:spacing w:val="6"/>
          <w:sz w:val="32"/>
          <w:szCs w:val="32"/>
          <w:lang w:val="en-US" w:eastAsia="zh-CN"/>
        </w:rPr>
      </w:pPr>
    </w:p>
    <w:p>
      <w:pPr>
        <w:pStyle w:val="2"/>
        <w:rPr>
          <w:rFonts w:hint="eastAsia" w:ascii="仿宋_GB2312" w:hAnsi="仿宋_GB2312" w:eastAsia="仿宋_GB2312" w:cs="仿宋_GB2312"/>
          <w:b/>
          <w:bCs/>
          <w:color w:val="auto"/>
          <w:spacing w:val="6"/>
          <w:sz w:val="32"/>
          <w:szCs w:val="32"/>
          <w:lang w:val="en-US" w:eastAsia="zh-CN"/>
        </w:rPr>
      </w:pPr>
    </w:p>
    <w:p>
      <w:pPr>
        <w:pStyle w:val="2"/>
        <w:rPr>
          <w:rFonts w:hint="eastAsia" w:ascii="仿宋_GB2312" w:hAnsi="仿宋_GB2312" w:eastAsia="仿宋_GB2312" w:cs="仿宋_GB2312"/>
          <w:b/>
          <w:bCs/>
          <w:color w:val="auto"/>
          <w:spacing w:val="6"/>
          <w:sz w:val="32"/>
          <w:szCs w:val="32"/>
          <w:lang w:val="en-US" w:eastAsia="zh-CN"/>
        </w:rPr>
      </w:pPr>
    </w:p>
    <w:p>
      <w:pPr>
        <w:pStyle w:val="2"/>
        <w:rPr>
          <w:rFonts w:hint="eastAsia" w:ascii="仿宋_GB2312" w:hAnsi="仿宋_GB2312" w:eastAsia="仿宋_GB2312" w:cs="仿宋_GB2312"/>
          <w:b/>
          <w:bCs/>
          <w:color w:val="auto"/>
          <w:spacing w:val="6"/>
          <w:sz w:val="32"/>
          <w:szCs w:val="32"/>
          <w:lang w:val="en-US" w:eastAsia="zh-CN"/>
        </w:rPr>
      </w:pPr>
    </w:p>
    <w:p>
      <w:pPr>
        <w:numPr>
          <w:ilvl w:val="-1"/>
          <w:numId w:val="0"/>
        </w:numPr>
        <w:spacing w:beforeLines="0" w:afterLines="0" w:line="560" w:lineRule="exact"/>
        <w:ind w:firstLine="0" w:firstLineChars="0"/>
        <w:jc w:val="center"/>
        <w:outlineLvl w:val="0"/>
        <w:rPr>
          <w:rFonts w:hint="eastAsia" w:ascii="黑体" w:hAnsi="黑体" w:eastAsia="黑体" w:cs="黑体"/>
          <w:b w:val="0"/>
          <w:bCs w:val="0"/>
          <w:color w:val="auto"/>
          <w:sz w:val="44"/>
          <w:szCs w:val="44"/>
          <w:lang w:val="en-US" w:eastAsia="zh-CN"/>
        </w:rPr>
      </w:pPr>
    </w:p>
    <w:p>
      <w:pPr>
        <w:numPr>
          <w:ilvl w:val="-1"/>
          <w:numId w:val="0"/>
        </w:numPr>
        <w:spacing w:beforeLines="0" w:afterLines="0" w:line="560" w:lineRule="exact"/>
        <w:ind w:firstLine="0" w:firstLineChars="0"/>
        <w:jc w:val="center"/>
        <w:outlineLvl w:val="0"/>
        <w:rPr>
          <w:rFonts w:hint="eastAsia" w:ascii="黑体" w:hAnsi="黑体" w:eastAsia="黑体" w:cs="黑体"/>
          <w:b w:val="0"/>
          <w:bCs w:val="0"/>
          <w:color w:val="auto"/>
          <w:sz w:val="44"/>
          <w:szCs w:val="44"/>
          <w:lang w:val="en-US" w:eastAsia="zh-CN"/>
        </w:rPr>
      </w:pPr>
    </w:p>
    <w:p>
      <w:pPr>
        <w:numPr>
          <w:ilvl w:val="-1"/>
          <w:numId w:val="0"/>
        </w:numPr>
        <w:spacing w:beforeLines="0" w:afterLines="0" w:line="560" w:lineRule="exact"/>
        <w:ind w:firstLine="0" w:firstLineChars="0"/>
        <w:jc w:val="center"/>
        <w:outlineLvl w:val="0"/>
        <w:rPr>
          <w:rFonts w:hint="eastAsia" w:ascii="黑体" w:hAnsi="黑体" w:eastAsia="黑体" w:cs="黑体"/>
          <w:b w:val="0"/>
          <w:bCs w:val="0"/>
          <w:color w:val="auto"/>
          <w:sz w:val="44"/>
          <w:szCs w:val="44"/>
          <w:lang w:val="en-US" w:eastAsia="zh-CN"/>
        </w:rPr>
      </w:pPr>
    </w:p>
    <w:p>
      <w:pPr>
        <w:numPr>
          <w:ilvl w:val="-1"/>
          <w:numId w:val="0"/>
        </w:numPr>
        <w:spacing w:beforeLines="0" w:afterLines="0" w:line="560" w:lineRule="exact"/>
        <w:ind w:firstLine="0" w:firstLineChars="0"/>
        <w:jc w:val="center"/>
        <w:outlineLvl w:val="0"/>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六、要素保障优惠政策</w:t>
      </w:r>
    </w:p>
    <w:p>
      <w:pPr>
        <w:keepNext w:val="0"/>
        <w:keepLines w:val="0"/>
        <w:widowControl/>
        <w:suppressLineNumbers w:val="0"/>
        <w:ind w:firstLine="666" w:firstLineChars="200"/>
        <w:jc w:val="left"/>
        <w:rPr>
          <w:rFonts w:hint="eastAsia" w:ascii="仿宋_GB2312" w:hAnsi="仿宋_GB2312" w:eastAsia="仿宋_GB2312" w:cs="仿宋_GB2312"/>
          <w:b/>
          <w:bCs/>
          <w:color w:val="auto"/>
          <w:spacing w:val="6"/>
          <w:sz w:val="32"/>
          <w:szCs w:val="32"/>
          <w:lang w:val="en-US" w:eastAsia="zh-CN"/>
        </w:rPr>
      </w:pP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62</w:t>
      </w:r>
      <w:r>
        <w:rPr>
          <w:rFonts w:hint="eastAsia" w:ascii="仿宋_GB2312" w:hAnsi="仿宋_GB2312" w:eastAsia="仿宋_GB2312" w:cs="仿宋_GB2312"/>
          <w:b/>
          <w:bCs/>
          <w:color w:val="auto"/>
          <w:sz w:val="32"/>
          <w:szCs w:val="32"/>
          <w:lang w:val="en-US" w:eastAsia="zh-CN"/>
        </w:rPr>
        <w:t>.“桂惠贷”贴息政策。</w:t>
      </w:r>
      <w:r>
        <w:rPr>
          <w:rFonts w:hint="eastAsia" w:ascii="仿宋_GB2312" w:hAnsi="仿宋_GB2312" w:eastAsia="仿宋_GB2312" w:cs="仿宋_GB2312"/>
          <w:b w:val="0"/>
          <w:bCs w:val="0"/>
          <w:color w:val="auto"/>
          <w:sz w:val="32"/>
          <w:szCs w:val="32"/>
          <w:lang w:val="en-US" w:eastAsia="zh-CN"/>
        </w:rPr>
        <w:t>“桂惠贷”产品均采用间接补贴方式予以贴息，由金融机构按降低</w:t>
      </w:r>
      <w:r>
        <w:rPr>
          <w:rFonts w:hint="default" w:ascii="Times New Roman" w:hAnsi="Times New Roman" w:eastAsia="仿宋_GB2312"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个百分点后的利率发放优惠贷款，再统一向财政补贴申请贴息。</w:t>
      </w:r>
      <w:r>
        <w:rPr>
          <w:rFonts w:hint="eastAsia" w:ascii="仿宋_GB2312" w:hAnsi="仿宋_GB2312" w:eastAsia="仿宋_GB2312" w:cs="仿宋_GB2312"/>
          <w:b/>
          <w:bCs/>
          <w:color w:val="auto"/>
          <w:sz w:val="32"/>
          <w:szCs w:val="32"/>
          <w:lang w:val="en-US" w:eastAsia="zh-CN"/>
        </w:rPr>
        <w:t>《广西壮族自治区人民政府办公厅关于深入开展“桂惠贷”支持广西经济高质量发展实施方案的通知》（桂政办发〔</w:t>
      </w:r>
      <w:r>
        <w:rPr>
          <w:rFonts w:hint="default" w:ascii="Times New Roman" w:hAnsi="Times New Roman" w:eastAsia="仿宋_GB2312" w:cs="Times New Roman"/>
          <w:b/>
          <w:bCs/>
          <w:color w:val="auto"/>
          <w:sz w:val="32"/>
          <w:szCs w:val="32"/>
          <w:lang w:val="en-US" w:eastAsia="zh-CN"/>
        </w:rPr>
        <w:t>2020</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92</w:t>
      </w:r>
      <w:r>
        <w:rPr>
          <w:rFonts w:hint="eastAsia" w:ascii="仿宋_GB2312" w:hAnsi="仿宋_GB2312" w:eastAsia="仿宋_GB2312" w:cs="仿宋_GB2312"/>
          <w:b/>
          <w:bCs/>
          <w:color w:val="auto"/>
          <w:sz w:val="32"/>
          <w:szCs w:val="32"/>
          <w:lang w:val="en-US" w:eastAsia="zh-CN"/>
        </w:rPr>
        <w:t>号）</w:t>
      </w:r>
      <w:r>
        <w:rPr>
          <w:rFonts w:hint="eastAsia" w:ascii="仿宋_GB2312" w:hAnsi="仿宋_GB2312" w:eastAsia="仿宋_GB2312" w:cs="仿宋_GB2312"/>
          <w:b w:val="0"/>
          <w:bCs w:val="0"/>
          <w:color w:val="auto"/>
          <w:sz w:val="32"/>
          <w:szCs w:val="32"/>
          <w:lang w:val="en-US" w:eastAsia="zh-CN"/>
        </w:rPr>
        <w:t>经营贷贴息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，个体工商贷贴息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，首次贷、信用贷贴息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，科创贷贴息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，三农贷贴息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，技改贷、贸易贷贴息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，招商贷、通道贷贴息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，绿色贷、数字贷、文体旅康养贷、制造业中长期项目贷贴息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，重大产业项目贷、纾困稳企贷贴息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，外汇贷贴息</w:t>
      </w:r>
      <w:r>
        <w:rPr>
          <w:rFonts w:hint="default" w:ascii="Times New Roman" w:hAnsi="Times New Roman" w:eastAsia="仿宋_GB2312"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，建设贷贴息</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《广西壮族自治区地方金融监督管理局 广西壮族自治区财政厅 中国人民银行广西壮族自治区分行 国家金融监督管理总局广西监管局关于印发</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年进一步深化“桂惠贷”支持全区经济高质量发展工作方案的通知》（桂金监银〔</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号）</w:t>
      </w:r>
    </w:p>
    <w:p>
      <w:pPr>
        <w:keepNext w:val="0"/>
        <w:keepLines w:val="0"/>
        <w:widowControl/>
        <w:numPr>
          <w:ilvl w:val="0"/>
          <w:numId w:val="0"/>
        </w:numPr>
        <w:suppressLineNumbers w:val="0"/>
        <w:spacing w:beforeLines="0" w:afterLines="0" w:line="560" w:lineRule="exact"/>
        <w:ind w:firstLine="642" w:firstLineChars="2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pacing w:val="0"/>
          <w:sz w:val="32"/>
          <w:szCs w:val="32"/>
          <w:lang w:val="en-US" w:eastAsia="zh-CN"/>
        </w:rPr>
        <w:t>63.</w:t>
      </w:r>
      <w:r>
        <w:rPr>
          <w:rFonts w:hint="eastAsia" w:ascii="仿宋_GB2312" w:hAnsi="仿宋_GB2312" w:eastAsia="仿宋_GB2312" w:cs="仿宋_GB2312"/>
          <w:b/>
          <w:bCs/>
          <w:color w:val="000000"/>
          <w:kern w:val="2"/>
          <w:sz w:val="32"/>
          <w:szCs w:val="32"/>
          <w:lang w:val="en-US" w:eastAsia="zh-CN" w:bidi="ar"/>
        </w:rPr>
        <w:t>合理降低用地成本。</w:t>
      </w:r>
      <w:r>
        <w:rPr>
          <w:rFonts w:hint="eastAsia" w:ascii="仿宋_GB2312" w:hAnsi="仿宋_GB2312" w:eastAsia="仿宋_GB2312" w:cs="仿宋_GB2312"/>
          <w:color w:val="000000"/>
          <w:kern w:val="2"/>
          <w:sz w:val="32"/>
          <w:szCs w:val="32"/>
          <w:lang w:val="en-US" w:eastAsia="zh-CN" w:bidi="ar"/>
        </w:rPr>
        <w:t>实施差别化地价政策，对符合自治区产业导向的民间投资项目且用地集约的，可按不低于所在地土地等别相对应工业用地出让最低价标准的 70%确定土地出让底价，拟定的出让底价低于该项目实际土地取得成本、土地前期开发成本和按规定应缴纳的相关费用之和的，应按不低于实际各项成本费用之和的原则确定出让底价。在符合规划、不改变用途的前提下，现有工业用地提高土地利用率和增加容积率，且投资强度、容积率等指标符合规定的，其建筑面积增加部分不再增收土地出让价款。工业用地实行租赁、先租后让、弹性年期出让等方式供应的，土地使用者可按合同约定分期缴纳土地价款。利用废旧厂房等现有工业用地兴办国家支持的新产业、新业态项目的，经市、县人民政府批准，可继续按原用途使用，过渡期 5 年，过渡期满后，依法按新用途办理用地手续。</w:t>
      </w:r>
      <w:r>
        <w:rPr>
          <w:rFonts w:hint="eastAsia" w:ascii="仿宋_GB2312" w:hAnsi="仿宋_GB2312" w:eastAsia="仿宋_GB2312" w:cs="仿宋_GB2312"/>
          <w:b/>
          <w:bCs/>
          <w:color w:val="auto"/>
          <w:kern w:val="2"/>
          <w:sz w:val="32"/>
          <w:szCs w:val="32"/>
          <w:lang w:val="en-US" w:eastAsia="zh-CN" w:bidi="ar"/>
        </w:rPr>
        <w:t>《</w:t>
      </w:r>
      <w:r>
        <w:rPr>
          <w:rFonts w:hint="eastAsia" w:ascii="仿宋_GB2312" w:hAnsi="仿宋_GB2312" w:eastAsia="仿宋_GB2312" w:cs="仿宋_GB2312"/>
          <w:b/>
          <w:bCs/>
          <w:color w:val="000000"/>
          <w:kern w:val="2"/>
          <w:sz w:val="32"/>
          <w:szCs w:val="32"/>
          <w:lang w:val="en-US" w:eastAsia="zh-CN" w:bidi="ar"/>
        </w:rPr>
        <w:t>广西壮族自治区人民政府办公厅关于印发广西进一步促进民间投资发展若干政策措施的通知</w:t>
      </w:r>
      <w:r>
        <w:rPr>
          <w:rFonts w:hint="eastAsia" w:ascii="仿宋_GB2312" w:hAnsi="仿宋_GB2312" w:eastAsia="仿宋_GB2312" w:cs="仿宋_GB2312"/>
          <w:b/>
          <w:bCs/>
          <w:color w:val="auto"/>
          <w:kern w:val="2"/>
          <w:sz w:val="32"/>
          <w:szCs w:val="32"/>
          <w:lang w:val="en-US" w:eastAsia="zh-CN" w:bidi="ar"/>
        </w:rPr>
        <w:t>》（</w:t>
      </w:r>
      <w:r>
        <w:rPr>
          <w:rFonts w:ascii="方正仿宋_GBK" w:hAnsi="方正仿宋_GBK" w:eastAsia="方正仿宋_GBK" w:cs="方正仿宋_GBK"/>
          <w:b/>
          <w:bCs/>
          <w:color w:val="000000"/>
          <w:kern w:val="0"/>
          <w:sz w:val="31"/>
          <w:szCs w:val="31"/>
          <w:lang w:val="en-US" w:eastAsia="zh-CN" w:bidi="ar"/>
        </w:rPr>
        <w:t>桂政办发〔</w:t>
      </w:r>
      <w:r>
        <w:rPr>
          <w:rFonts w:hint="default" w:ascii="Times New Roman" w:hAnsi="Times New Roman" w:eastAsia="宋体" w:cs="Times New Roman"/>
          <w:b/>
          <w:bCs/>
          <w:color w:val="000000"/>
          <w:kern w:val="0"/>
          <w:sz w:val="31"/>
          <w:szCs w:val="31"/>
          <w:lang w:val="en-US" w:eastAsia="zh-CN" w:bidi="ar"/>
        </w:rPr>
        <w:t>2021</w:t>
      </w:r>
      <w:r>
        <w:rPr>
          <w:rFonts w:hint="eastAsia" w:ascii="方正仿宋_GBK" w:hAnsi="方正仿宋_GBK" w:eastAsia="方正仿宋_GBK" w:cs="方正仿宋_GBK"/>
          <w:b/>
          <w:bCs/>
          <w:color w:val="000000"/>
          <w:kern w:val="0"/>
          <w:sz w:val="31"/>
          <w:szCs w:val="31"/>
          <w:lang w:val="en-US" w:eastAsia="zh-CN" w:bidi="ar"/>
        </w:rPr>
        <w:t>〕</w:t>
      </w:r>
      <w:r>
        <w:rPr>
          <w:rFonts w:hint="default" w:ascii="Times New Roman" w:hAnsi="Times New Roman" w:eastAsia="宋体" w:cs="Times New Roman"/>
          <w:b/>
          <w:bCs/>
          <w:color w:val="000000"/>
          <w:kern w:val="0"/>
          <w:sz w:val="31"/>
          <w:szCs w:val="31"/>
          <w:lang w:val="en-US" w:eastAsia="zh-CN" w:bidi="ar"/>
        </w:rPr>
        <w:t xml:space="preserve">23 </w:t>
      </w:r>
      <w:r>
        <w:rPr>
          <w:rFonts w:hint="eastAsia" w:ascii="方正仿宋_GBK" w:hAnsi="方正仿宋_GBK" w:eastAsia="方正仿宋_GBK" w:cs="方正仿宋_GBK"/>
          <w:b/>
          <w:bCs/>
          <w:color w:val="000000"/>
          <w:kern w:val="0"/>
          <w:sz w:val="31"/>
          <w:szCs w:val="31"/>
          <w:lang w:val="en-US" w:eastAsia="zh-CN" w:bidi="ar"/>
        </w:rPr>
        <w:t>号</w:t>
      </w:r>
      <w:r>
        <w:rPr>
          <w:rFonts w:hint="eastAsia" w:ascii="仿宋_GB2312" w:hAnsi="仿宋_GB2312" w:eastAsia="仿宋_GB2312" w:cs="仿宋_GB2312"/>
          <w:b/>
          <w:bCs/>
          <w:color w:val="auto"/>
          <w:kern w:val="2"/>
          <w:sz w:val="32"/>
          <w:szCs w:val="32"/>
          <w:lang w:val="en-US" w:eastAsia="zh-CN" w:bidi="ar"/>
        </w:rPr>
        <w:t>）</w:t>
      </w:r>
    </w:p>
    <w:p>
      <w:pPr>
        <w:numPr>
          <w:ilvl w:val="-1"/>
          <w:numId w:val="0"/>
        </w:numPr>
        <w:ind w:firstLine="0" w:firstLineChars="0"/>
        <w:jc w:val="left"/>
        <w:rPr>
          <w:rFonts w:hint="eastAsia" w:ascii="仿宋_GB2312" w:hAnsi="仿宋_GB2312" w:eastAsia="仿宋_GB2312" w:cs="仿宋_GB2312"/>
          <w:b/>
          <w:bCs/>
          <w:color w:val="auto"/>
          <w:spacing w:val="6"/>
          <w:sz w:val="32"/>
          <w:szCs w:val="32"/>
          <w:lang w:val="en-US" w:eastAsia="zh-CN"/>
        </w:rPr>
      </w:pPr>
    </w:p>
    <w:p>
      <w:pPr>
        <w:numPr>
          <w:ilvl w:val="-1"/>
          <w:numId w:val="0"/>
        </w:numPr>
        <w:spacing w:beforeLines="0" w:afterLines="0" w:line="560" w:lineRule="exact"/>
        <w:ind w:firstLine="0" w:firstLineChars="0"/>
        <w:jc w:val="center"/>
        <w:outlineLvl w:val="0"/>
        <w:rPr>
          <w:rFonts w:hint="eastAsia" w:ascii="黑体" w:hAnsi="黑体" w:eastAsia="黑体" w:cs="黑体"/>
          <w:b w:val="0"/>
          <w:bCs w:val="0"/>
          <w:color w:val="auto"/>
          <w:sz w:val="44"/>
          <w:szCs w:val="44"/>
          <w:lang w:val="en-US" w:eastAsia="zh-CN"/>
        </w:rPr>
      </w:pPr>
    </w:p>
    <w:p>
      <w:pPr>
        <w:numPr>
          <w:ilvl w:val="-1"/>
          <w:numId w:val="0"/>
        </w:numPr>
        <w:spacing w:beforeLines="0" w:afterLines="0" w:line="560" w:lineRule="exact"/>
        <w:ind w:firstLine="0" w:firstLineChars="0"/>
        <w:jc w:val="center"/>
        <w:outlineLvl w:val="0"/>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七、普适性优惠政策</w:t>
      </w:r>
    </w:p>
    <w:p>
      <w:pPr>
        <w:numPr>
          <w:ilvl w:val="0"/>
          <w:numId w:val="0"/>
        </w:numPr>
        <w:spacing w:beforeLines="0" w:afterLines="0"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p>
    <w:p>
      <w:pPr>
        <w:numPr>
          <w:ilvl w:val="0"/>
          <w:numId w:val="0"/>
        </w:numPr>
        <w:spacing w:beforeLines="0" w:afterLines="0" w:line="560" w:lineRule="exact"/>
        <w:ind w:firstLine="642" w:firstLineChars="200"/>
        <w:jc w:val="both"/>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64</w:t>
      </w:r>
      <w:r>
        <w:rPr>
          <w:rFonts w:hint="eastAsia" w:ascii="仿宋_GB2312" w:hAnsi="仿宋_GB2312" w:eastAsia="仿宋_GB2312" w:cs="仿宋_GB2312"/>
          <w:b/>
          <w:bCs/>
          <w:color w:val="auto"/>
          <w:sz w:val="32"/>
          <w:szCs w:val="32"/>
          <w:lang w:val="en-US" w:eastAsia="zh-CN"/>
        </w:rPr>
        <w:t>.支持小微企业和个体工商户发展有关税费政策。</w:t>
      </w:r>
      <w:r>
        <w:rPr>
          <w:rFonts w:hint="eastAsia" w:ascii="仿宋_GB2312" w:hAnsi="仿宋_GB2312" w:eastAsia="仿宋_GB2312" w:cs="仿宋_GB2312"/>
          <w:b w:val="0"/>
          <w:bCs w:val="0"/>
          <w:color w:val="auto"/>
          <w:sz w:val="32"/>
          <w:szCs w:val="32"/>
          <w:lang w:val="en-US" w:eastAsia="zh-CN"/>
        </w:rPr>
        <w:t>对增值税小规模纳税人、小型微利企业和个体工商户减半征收资源税（不含水资源税）、城市维护建设税、房产税、城镇土地使用税、印花税（不含证券交易印花税）、耕地占用税和教育费附加、地方教育附加。</w:t>
      </w:r>
      <w:r>
        <w:rPr>
          <w:rFonts w:hint="eastAsia" w:ascii="仿宋_GB2312" w:hAnsi="仿宋_GB2312" w:eastAsia="仿宋_GB2312" w:cs="仿宋_GB2312"/>
          <w:b/>
          <w:bCs/>
          <w:color w:val="auto"/>
          <w:sz w:val="32"/>
          <w:szCs w:val="32"/>
          <w:lang w:val="en-US" w:eastAsia="zh-CN"/>
        </w:rPr>
        <w:t>《财政部税务总局关于进一步支持小微企业和个体工商户发展有关税费政策的公告》（</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年第</w:t>
      </w:r>
      <w:r>
        <w:rPr>
          <w:rFonts w:hint="default" w:ascii="Times New Roman" w:hAnsi="Times New Roman" w:eastAsia="仿宋_GB2312" w:cs="Times New Roman"/>
          <w:b/>
          <w:bCs/>
          <w:color w:val="auto"/>
          <w:sz w:val="32"/>
          <w:szCs w:val="32"/>
          <w:lang w:val="en-US" w:eastAsia="zh-CN"/>
        </w:rPr>
        <w:t>12</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65</w:t>
      </w:r>
      <w:r>
        <w:rPr>
          <w:rFonts w:hint="eastAsia" w:ascii="仿宋_GB2312" w:hAnsi="仿宋_GB2312" w:eastAsia="仿宋_GB2312" w:cs="仿宋_GB2312"/>
          <w:b/>
          <w:bCs/>
          <w:color w:val="auto"/>
          <w:sz w:val="32"/>
          <w:szCs w:val="32"/>
          <w:lang w:val="en-US" w:eastAsia="zh-CN"/>
        </w:rPr>
        <w:t>.小微企业和个体工商户发展有关税费政策。</w:t>
      </w:r>
      <w:r>
        <w:rPr>
          <w:rFonts w:hint="eastAsia" w:ascii="仿宋_GB2312" w:hAnsi="仿宋_GB2312" w:eastAsia="仿宋_GB2312" w:cs="仿宋_GB2312"/>
          <w:b w:val="0"/>
          <w:bCs w:val="0"/>
          <w:color w:val="auto"/>
          <w:sz w:val="32"/>
          <w:szCs w:val="32"/>
          <w:lang w:val="en-US" w:eastAsia="zh-CN"/>
        </w:rPr>
        <w:t>对符合财政部、税务总局规定的小型微利企业条件的企业减按</w:t>
      </w:r>
      <w:r>
        <w:rPr>
          <w:rFonts w:hint="default" w:ascii="Times New Roman" w:hAnsi="Times New Roman" w:eastAsia="仿宋_GB2312" w:cs="Times New Roman"/>
          <w:b w:val="0"/>
          <w:bCs w:val="0"/>
          <w:color w:val="auto"/>
          <w:sz w:val="32"/>
          <w:szCs w:val="32"/>
          <w:lang w:val="en-US" w:eastAsia="zh-CN"/>
        </w:rPr>
        <w:t>25%</w:t>
      </w:r>
      <w:r>
        <w:rPr>
          <w:rFonts w:hint="eastAsia" w:ascii="仿宋_GB2312" w:hAnsi="仿宋_GB2312" w:eastAsia="仿宋_GB2312" w:cs="仿宋_GB2312"/>
          <w:b w:val="0"/>
          <w:bCs w:val="0"/>
          <w:color w:val="auto"/>
          <w:sz w:val="32"/>
          <w:szCs w:val="32"/>
          <w:lang w:val="en-US" w:eastAsia="zh-CN"/>
        </w:rPr>
        <w:t>计算应纳税所得额，按</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的税率缴纳企业所得税。</w:t>
      </w:r>
      <w:r>
        <w:rPr>
          <w:rFonts w:hint="eastAsia" w:ascii="仿宋_GB2312" w:hAnsi="仿宋_GB2312" w:eastAsia="仿宋_GB2312" w:cs="仿宋_GB2312"/>
          <w:b/>
          <w:bCs/>
          <w:color w:val="auto"/>
          <w:sz w:val="32"/>
          <w:szCs w:val="32"/>
          <w:lang w:val="en-US" w:eastAsia="zh-CN"/>
        </w:rPr>
        <w:t>《财政部税务总局关于进一步支持小微企业和个体工商户发展有关税费政策的公告》（</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年第</w:t>
      </w:r>
      <w:r>
        <w:rPr>
          <w:rFonts w:hint="default" w:ascii="Times New Roman" w:hAnsi="Times New Roman" w:eastAsia="仿宋_GB2312" w:cs="Times New Roman"/>
          <w:b/>
          <w:bCs/>
          <w:color w:val="auto"/>
          <w:sz w:val="32"/>
          <w:szCs w:val="32"/>
          <w:lang w:val="en-US" w:eastAsia="zh-CN"/>
        </w:rPr>
        <w:t>12</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66</w:t>
      </w:r>
      <w:r>
        <w:rPr>
          <w:rFonts w:hint="eastAsia" w:ascii="仿宋_GB2312" w:hAnsi="仿宋_GB2312" w:eastAsia="仿宋_GB2312" w:cs="仿宋_GB2312"/>
          <w:b/>
          <w:bCs/>
          <w:color w:val="auto"/>
          <w:sz w:val="32"/>
          <w:szCs w:val="32"/>
          <w:lang w:val="en-US" w:eastAsia="zh-CN"/>
        </w:rPr>
        <w:t>.增值税小规模纳税人减免增值税政策。</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）对月销售额</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万元以下（含本数）的增值税小规模纳税人，免征增值税。（</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）增值税小规模纳税人适用</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征收率的应税销售收入，减按</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征收率征收增值税；适用</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预征率的预缴增值税项目，减按</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预征率预缴增值税。</w:t>
      </w:r>
      <w:r>
        <w:rPr>
          <w:rFonts w:hint="eastAsia" w:ascii="仿宋_GB2312" w:hAnsi="仿宋_GB2312" w:eastAsia="仿宋_GB2312" w:cs="仿宋_GB2312"/>
          <w:b/>
          <w:bCs/>
          <w:color w:val="auto"/>
          <w:sz w:val="32"/>
          <w:szCs w:val="32"/>
          <w:lang w:val="en-US" w:eastAsia="zh-CN"/>
        </w:rPr>
        <w:t>《财政部税务总局关于增值税小规模纳税人减免增值税政策的公告》（</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年第</w:t>
      </w:r>
      <w:r>
        <w:rPr>
          <w:rFonts w:hint="default" w:ascii="Times New Roman" w:hAnsi="Times New Roman" w:eastAsia="仿宋_GB2312" w:cs="Times New Roman"/>
          <w:b/>
          <w:bCs/>
          <w:color w:val="auto"/>
          <w:sz w:val="32"/>
          <w:szCs w:val="32"/>
          <w:lang w:val="en-US" w:eastAsia="zh-CN"/>
        </w:rPr>
        <w:t>19</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67</w:t>
      </w:r>
      <w:r>
        <w:rPr>
          <w:rFonts w:hint="eastAsia" w:ascii="仿宋_GB2312" w:hAnsi="仿宋_GB2312" w:eastAsia="仿宋_GB2312" w:cs="仿宋_GB2312"/>
          <w:b/>
          <w:bCs/>
          <w:color w:val="auto"/>
          <w:sz w:val="32"/>
          <w:szCs w:val="32"/>
          <w:lang w:val="en-US" w:eastAsia="zh-CN"/>
        </w:rPr>
        <w:t>.企业研发费用税前加计扣除政策。</w:t>
      </w:r>
      <w:r>
        <w:rPr>
          <w:rFonts w:hint="eastAsia" w:ascii="仿宋_GB2312" w:hAnsi="仿宋_GB2312" w:eastAsia="仿宋_GB2312" w:cs="仿宋_GB2312"/>
          <w:b w:val="0"/>
          <w:bCs w:val="0"/>
          <w:color w:val="auto"/>
          <w:sz w:val="32"/>
          <w:szCs w:val="32"/>
          <w:lang w:val="en-US" w:eastAsia="zh-CN"/>
        </w:rPr>
        <w:t>企业开展研发活动中实际发生的研发费用，未形成无形资产计入当期损益的，在按规定据实扣除的基础上，自</w:t>
      </w:r>
      <w:r>
        <w:rPr>
          <w:rFonts w:hint="default" w:ascii="Times New Roman" w:hAnsi="Times New Roman" w:eastAsia="仿宋_GB2312" w:cs="Times New Roman"/>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日起，再按照实际发生额的</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在税前加计扣除；形成无形资产的，自</w:t>
      </w:r>
      <w:r>
        <w:rPr>
          <w:rFonts w:hint="default" w:ascii="Times New Roman" w:hAnsi="Times New Roman" w:eastAsia="仿宋_GB2312" w:cs="Times New Roman"/>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日起，按照无形资产成本的</w:t>
      </w:r>
      <w:r>
        <w:rPr>
          <w:rFonts w:hint="default" w:ascii="Times New Roman" w:hAnsi="Times New Roman" w:eastAsia="仿宋_GB2312" w:cs="Times New Roman"/>
          <w:b w:val="0"/>
          <w:bCs w:val="0"/>
          <w:color w:val="auto"/>
          <w:sz w:val="32"/>
          <w:szCs w:val="32"/>
          <w:lang w:val="en-US" w:eastAsia="zh-CN"/>
        </w:rPr>
        <w:t>200%</w:t>
      </w:r>
      <w:r>
        <w:rPr>
          <w:rFonts w:hint="eastAsia" w:ascii="仿宋_GB2312" w:hAnsi="仿宋_GB2312" w:eastAsia="仿宋_GB2312" w:cs="仿宋_GB2312"/>
          <w:b w:val="0"/>
          <w:bCs w:val="0"/>
          <w:color w:val="auto"/>
          <w:sz w:val="32"/>
          <w:szCs w:val="32"/>
          <w:lang w:val="en-US" w:eastAsia="zh-CN"/>
        </w:rPr>
        <w:t>在税前摊销。</w:t>
      </w:r>
      <w:r>
        <w:rPr>
          <w:rFonts w:hint="eastAsia" w:ascii="仿宋_GB2312" w:hAnsi="仿宋_GB2312" w:eastAsia="仿宋_GB2312" w:cs="仿宋_GB2312"/>
          <w:b/>
          <w:bCs/>
          <w:color w:val="auto"/>
          <w:sz w:val="32"/>
          <w:szCs w:val="32"/>
          <w:lang w:val="en-US" w:eastAsia="zh-CN"/>
        </w:rPr>
        <w:t>《财政部税务总局关于进一步完善研发费用税前加计扣除政策的公告》（</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年第</w:t>
      </w:r>
      <w:r>
        <w:rPr>
          <w:rFonts w:hint="default"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号）《国家税务总局财政部关于优化预缴申报享受研发费用加计扣除政策有关事项的公告》（</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年第</w:t>
      </w:r>
      <w:r>
        <w:rPr>
          <w:rFonts w:hint="default" w:ascii="Times New Roman" w:hAnsi="Times New Roman" w:eastAsia="仿宋_GB2312" w:cs="Times New Roman"/>
          <w:b/>
          <w:bCs/>
          <w:color w:val="auto"/>
          <w:sz w:val="32"/>
          <w:szCs w:val="32"/>
          <w:lang w:val="en-US" w:eastAsia="zh-CN"/>
        </w:rPr>
        <w:t>11</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68</w:t>
      </w:r>
      <w:r>
        <w:rPr>
          <w:rFonts w:hint="eastAsia" w:ascii="仿宋_GB2312" w:hAnsi="仿宋_GB2312" w:eastAsia="仿宋_GB2312" w:cs="仿宋_GB2312"/>
          <w:b/>
          <w:bCs/>
          <w:color w:val="auto"/>
          <w:sz w:val="32"/>
          <w:szCs w:val="32"/>
          <w:lang w:val="en-US" w:eastAsia="zh-CN"/>
        </w:rPr>
        <w:t>.高新技术企业所得税优惠。</w:t>
      </w:r>
      <w:r>
        <w:rPr>
          <w:rFonts w:hint="eastAsia" w:ascii="仿宋_GB2312" w:hAnsi="仿宋_GB2312" w:eastAsia="仿宋_GB2312" w:cs="仿宋_GB2312"/>
          <w:b w:val="0"/>
          <w:bCs w:val="0"/>
          <w:color w:val="auto"/>
          <w:sz w:val="32"/>
          <w:szCs w:val="32"/>
          <w:lang w:val="en-US" w:eastAsia="zh-CN"/>
        </w:rPr>
        <w:t>高新技术企业减按</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税率征收企业所得税政策。</w:t>
      </w:r>
      <w:r>
        <w:rPr>
          <w:rFonts w:hint="eastAsia" w:ascii="仿宋_GB2312" w:hAnsi="仿宋_GB2312" w:eastAsia="仿宋_GB2312" w:cs="仿宋_GB2312"/>
          <w:b/>
          <w:bCs/>
          <w:color w:val="auto"/>
          <w:sz w:val="32"/>
          <w:szCs w:val="32"/>
          <w:lang w:val="en-US" w:eastAsia="zh-CN"/>
        </w:rPr>
        <w:t>《中华人民共和国企业所得税法》（中华人民共和国主席令第</w:t>
      </w:r>
      <w:r>
        <w:rPr>
          <w:rFonts w:hint="default" w:ascii="Times New Roman" w:hAnsi="Times New Roman" w:eastAsia="仿宋_GB2312" w:cs="Times New Roman"/>
          <w:b/>
          <w:bCs/>
          <w:color w:val="auto"/>
          <w:sz w:val="32"/>
          <w:szCs w:val="32"/>
          <w:lang w:val="en-US" w:eastAsia="zh-CN"/>
        </w:rPr>
        <w:t>63</w:t>
      </w:r>
      <w:r>
        <w:rPr>
          <w:rFonts w:hint="eastAsia" w:ascii="仿宋_GB2312" w:hAnsi="仿宋_GB2312" w:eastAsia="仿宋_GB2312" w:cs="仿宋_GB2312"/>
          <w:b/>
          <w:bCs/>
          <w:color w:val="auto"/>
          <w:sz w:val="32"/>
          <w:szCs w:val="32"/>
          <w:lang w:val="en-US" w:eastAsia="zh-CN"/>
        </w:rPr>
        <w:t xml:space="preserve"> 号）《中华人民共和国企业所得税法实施条例》（中华人民共和国国务院令第</w:t>
      </w:r>
      <w:r>
        <w:rPr>
          <w:rFonts w:hint="default" w:ascii="Times New Roman" w:hAnsi="Times New Roman" w:eastAsia="仿宋_GB2312" w:cs="Times New Roman"/>
          <w:b/>
          <w:bCs/>
          <w:color w:val="auto"/>
          <w:sz w:val="32"/>
          <w:szCs w:val="32"/>
          <w:lang w:val="en-US" w:eastAsia="zh-CN"/>
        </w:rPr>
        <w:t>512</w:t>
      </w:r>
      <w:r>
        <w:rPr>
          <w:rFonts w:hint="eastAsia" w:ascii="仿宋_GB2312" w:hAnsi="仿宋_GB2312" w:eastAsia="仿宋_GB2312" w:cs="仿宋_GB2312"/>
          <w:b/>
          <w:bCs/>
          <w:color w:val="auto"/>
          <w:sz w:val="32"/>
          <w:szCs w:val="32"/>
          <w:lang w:val="en-US" w:eastAsia="zh-CN"/>
        </w:rPr>
        <w:t>号）《国家税务总局关于实施高新技术企业所得税优惠政策有关问题的公告》（国家税务总局公告</w:t>
      </w:r>
      <w:r>
        <w:rPr>
          <w:rFonts w:hint="default" w:ascii="Times New Roman" w:hAnsi="Times New Roman" w:eastAsia="仿宋_GB2312" w:cs="Times New Roman"/>
          <w:b/>
          <w:bCs/>
          <w:color w:val="auto"/>
          <w:sz w:val="32"/>
          <w:szCs w:val="32"/>
          <w:lang w:val="en-US" w:eastAsia="zh-CN"/>
        </w:rPr>
        <w:t>2017</w:t>
      </w:r>
      <w:r>
        <w:rPr>
          <w:rFonts w:hint="eastAsia" w:ascii="仿宋_GB2312" w:hAnsi="仿宋_GB2312" w:eastAsia="仿宋_GB2312" w:cs="仿宋_GB2312"/>
          <w:b/>
          <w:bCs/>
          <w:color w:val="auto"/>
          <w:sz w:val="32"/>
          <w:szCs w:val="32"/>
          <w:lang w:val="en-US" w:eastAsia="zh-CN"/>
        </w:rPr>
        <w:t>年第</w:t>
      </w:r>
      <w:r>
        <w:rPr>
          <w:rFonts w:hint="default" w:ascii="Times New Roman" w:hAnsi="Times New Roman" w:eastAsia="仿宋_GB2312" w:cs="Times New Roman"/>
          <w:b/>
          <w:bCs/>
          <w:color w:val="auto"/>
          <w:sz w:val="32"/>
          <w:szCs w:val="32"/>
          <w:lang w:val="en-US" w:eastAsia="zh-CN"/>
        </w:rPr>
        <w:t>24</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69</w:t>
      </w:r>
      <w:r>
        <w:rPr>
          <w:rFonts w:hint="eastAsia" w:ascii="仿宋_GB2312" w:hAnsi="仿宋_GB2312" w:eastAsia="仿宋_GB2312" w:cs="仿宋_GB2312"/>
          <w:b/>
          <w:bCs/>
          <w:color w:val="auto"/>
          <w:sz w:val="32"/>
          <w:szCs w:val="32"/>
          <w:lang w:val="en-US" w:eastAsia="zh-CN"/>
        </w:rPr>
        <w:t>.创业担保贷款贴息政策。</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创业担保贷款，是符合规定条件的创业者个人或小微企业为借款人，由创业担保贷款担保基金或政府性融资担保机构提供担保，由经办银行发放，由财政部门给予贴息，用于支持个人创业或小微企业吸纳就业的贷款业务。（</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创业担保贷款对象范围。可申请个人创业担保贷款对象包括：城镇登记失业人员、就业困难人员（含残疾人）、退役军人、刑满释放人员、高校毕业生（含大学生村官和留学回国学生）、化解过剩产能企业职工和失业人员、返乡创业农民工、网络商户、脱贫人口、农村自主创业农民。（</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）个人创业担保贷款额度不超过</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万元，贷款期限不超过</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年。对符合个人创业担保贷款条件的借款人合伙创业的，可根据合伙创业人数适当提高贷款额度，最高不超过符合条件的个人创业担保贷款额度上限之和的</w:t>
      </w:r>
      <w:r>
        <w:rPr>
          <w:rFonts w:hint="default" w:ascii="Times New Roman" w:hAnsi="Times New Roman" w:eastAsia="仿宋_GB2312" w:cs="Times New Roman"/>
          <w:b w:val="0"/>
          <w:bCs w:val="0"/>
          <w:color w:val="auto"/>
          <w:sz w:val="32"/>
          <w:szCs w:val="32"/>
          <w:lang w:val="en-US" w:eastAsia="zh-CN"/>
        </w:rPr>
        <w:t>110</w:t>
      </w:r>
      <w:r>
        <w:rPr>
          <w:rFonts w:hint="eastAsia" w:ascii="仿宋_GB2312" w:hAnsi="仿宋_GB2312" w:eastAsia="仿宋_GB2312" w:cs="仿宋_GB2312"/>
          <w:b w:val="0"/>
          <w:bCs w:val="0"/>
          <w:color w:val="auto"/>
          <w:sz w:val="32"/>
          <w:szCs w:val="32"/>
          <w:lang w:val="en-US" w:eastAsia="zh-CN"/>
        </w:rPr>
        <w:t>％、且不超过小微企业创业担保贷款额度上限。小微企业创业担保贷款额度不超过</w:t>
      </w:r>
      <w:r>
        <w:rPr>
          <w:rFonts w:hint="default" w:ascii="Times New Roman" w:hAnsi="Times New Roman" w:eastAsia="仿宋_GB2312" w:cs="Times New Roman"/>
          <w:b w:val="0"/>
          <w:bCs w:val="0"/>
          <w:color w:val="auto"/>
          <w:sz w:val="32"/>
          <w:szCs w:val="32"/>
          <w:lang w:val="en-US" w:eastAsia="zh-CN"/>
        </w:rPr>
        <w:t>400</w:t>
      </w:r>
      <w:r>
        <w:rPr>
          <w:rFonts w:hint="eastAsia" w:ascii="仿宋_GB2312" w:hAnsi="仿宋_GB2312" w:eastAsia="仿宋_GB2312" w:cs="仿宋_GB2312"/>
          <w:b w:val="0"/>
          <w:bCs w:val="0"/>
          <w:color w:val="auto"/>
          <w:sz w:val="32"/>
          <w:szCs w:val="32"/>
          <w:lang w:val="en-US" w:eastAsia="zh-CN"/>
        </w:rPr>
        <w:t>万元，贷款期限不超过</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）创业担保贷款利率由借款人、经办银行协商确定，鼓励经办银行给予借款人贷款利率优惠。奖补支持的贷款利率上限为</w:t>
      </w:r>
      <w:r>
        <w:rPr>
          <w:rFonts w:hint="default" w:ascii="Times New Roman" w:hAnsi="Times New Roman" w:eastAsia="仿宋_GB2312" w:cs="Times New Roman"/>
          <w:b w:val="0"/>
          <w:bCs w:val="0"/>
          <w:color w:val="auto"/>
          <w:sz w:val="32"/>
          <w:szCs w:val="32"/>
          <w:lang w:val="en-US" w:eastAsia="zh-CN"/>
        </w:rPr>
        <w:t>LPR</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150BPs</w:t>
      </w:r>
      <w:r>
        <w:rPr>
          <w:rFonts w:hint="eastAsia" w:ascii="仿宋_GB2312" w:hAnsi="仿宋_GB2312" w:eastAsia="仿宋_GB2312" w:cs="仿宋_GB2312"/>
          <w:b w:val="0"/>
          <w:bCs w:val="0"/>
          <w:color w:val="auto"/>
          <w:sz w:val="32"/>
          <w:szCs w:val="32"/>
          <w:lang w:val="en-US" w:eastAsia="zh-CN"/>
        </w:rPr>
        <w:t>。其中，</w:t>
      </w:r>
      <w:r>
        <w:rPr>
          <w:rFonts w:hint="default" w:ascii="Times New Roman" w:hAnsi="Times New Roman" w:eastAsia="仿宋_GB2312" w:cs="Times New Roman"/>
          <w:b w:val="0"/>
          <w:bCs w:val="0"/>
          <w:color w:val="auto"/>
          <w:sz w:val="32"/>
          <w:szCs w:val="32"/>
          <w:lang w:val="en-US" w:eastAsia="zh-CN"/>
        </w:rPr>
        <w:t>LPR</w:t>
      </w:r>
      <w:r>
        <w:rPr>
          <w:rFonts w:hint="eastAsia" w:ascii="仿宋_GB2312" w:hAnsi="仿宋_GB2312" w:eastAsia="仿宋_GB2312" w:cs="仿宋_GB2312"/>
          <w:b w:val="0"/>
          <w:bCs w:val="0"/>
          <w:color w:val="auto"/>
          <w:sz w:val="32"/>
          <w:szCs w:val="32"/>
          <w:lang w:val="en-US" w:eastAsia="zh-CN"/>
        </w:rPr>
        <w:t>为</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年期贷款市场报价利率。（</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）对符合条件的创业担保贷款，财政部门给予贷款实际利率</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的财政贴息。对展期的创业担保贷款财政部门原则上不予贴息，对逾期的创业担保贷款自逾期之日起财政部门原则上不予贴息，国家另有规定的除外。经办银行直接向符合条件的借款人按贴息后的利率收取贷款利息，贴息资金由经办银行向财政部门申请。同一笔贷款不能重复享受财政贴息政策。</w:t>
      </w:r>
      <w:r>
        <w:rPr>
          <w:rFonts w:hint="eastAsia" w:ascii="仿宋_GB2312" w:hAnsi="仿宋_GB2312" w:eastAsia="仿宋_GB2312" w:cs="仿宋_GB2312"/>
          <w:b/>
          <w:bCs/>
          <w:color w:val="auto"/>
          <w:sz w:val="32"/>
          <w:szCs w:val="32"/>
          <w:lang w:val="en-US" w:eastAsia="zh-CN"/>
        </w:rPr>
        <w:t>《广西壮族自治区人民政府办公厅关于印发 《广西优化创业担保贷款机制促进高质量充分就业实施办法（试行）》的通知 （桂政办发〔</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29</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70</w:t>
      </w:r>
      <w:r>
        <w:rPr>
          <w:rFonts w:hint="eastAsia" w:ascii="仿宋_GB2312" w:hAnsi="仿宋_GB2312" w:eastAsia="仿宋_GB2312" w:cs="仿宋_GB2312"/>
          <w:b/>
          <w:bCs/>
          <w:color w:val="auto"/>
          <w:sz w:val="32"/>
          <w:szCs w:val="32"/>
          <w:lang w:val="en-US" w:eastAsia="zh-CN"/>
        </w:rPr>
        <w:t>.民贸民品贷款贴息政策。</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）享受民贸民品贷款贴息政策的贷款包括民族贸易贷款和民族特需商品贷款。 民族贸易贷款。民族贸易县内民族贸易企业经销少数民族特需商品、生产生活必需品，以及收购、加工、销售当地农（牧）副产品所需的流动资金贷款;省、州级民族贸易公司承担特定民族贸易供应任务所需的流动资金贷款。民族特需商品贷款。民族特需商品定点生产企业生产少数民族特需商品目录中所列商品所需的流动资金贷款。（</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）对民贸民品贷款按一定贴息率（</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88%</w:t>
      </w:r>
      <w:r>
        <w:rPr>
          <w:rFonts w:hint="eastAsia" w:ascii="仿宋_GB2312" w:hAnsi="仿宋_GB2312" w:eastAsia="仿宋_GB2312" w:cs="仿宋_GB2312"/>
          <w:b w:val="0"/>
          <w:bCs w:val="0"/>
          <w:color w:val="auto"/>
          <w:sz w:val="32"/>
          <w:szCs w:val="32"/>
          <w:lang w:val="en-US" w:eastAsia="zh-CN"/>
        </w:rPr>
        <w:t>）给予贴息。贴息金额=贷款本金金额*贴息率（</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88%</w:t>
      </w:r>
      <w:r>
        <w:rPr>
          <w:rFonts w:hint="eastAsia" w:ascii="仿宋_GB2312" w:hAnsi="仿宋_GB2312" w:eastAsia="仿宋_GB2312" w:cs="仿宋_GB2312"/>
          <w:b w:val="0"/>
          <w:bCs w:val="0"/>
          <w:color w:val="auto"/>
          <w:sz w:val="32"/>
          <w:szCs w:val="32"/>
          <w:lang w:val="en-US" w:eastAsia="zh-CN"/>
        </w:rPr>
        <w:t>）*贴息天数/</w:t>
      </w:r>
      <w:r>
        <w:rPr>
          <w:rFonts w:hint="default" w:ascii="Times New Roman" w:hAnsi="Times New Roman" w:eastAsia="仿宋_GB2312" w:cs="Times New Roman"/>
          <w:b w:val="0"/>
          <w:bCs w:val="0"/>
          <w:color w:val="auto"/>
          <w:sz w:val="32"/>
          <w:szCs w:val="32"/>
          <w:lang w:val="en-US" w:eastAsia="zh-CN"/>
        </w:rPr>
        <w:t>360</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《广西壮族自治区财政厅 广西壮族自治区民族宗教事务委员会 中国人民银行南宁中心支行关于进一步加强民族贸易和民族特需商品生产贷款贴息资金管理的通知》（桂财金〔</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52</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71</w:t>
      </w:r>
      <w:r>
        <w:rPr>
          <w:rFonts w:hint="eastAsia" w:ascii="仿宋_GB2312" w:hAnsi="仿宋_GB2312" w:eastAsia="仿宋_GB2312" w:cs="仿宋_GB2312"/>
          <w:b/>
          <w:bCs/>
          <w:color w:val="auto"/>
          <w:sz w:val="32"/>
          <w:szCs w:val="32"/>
          <w:lang w:val="en-US" w:eastAsia="zh-CN"/>
        </w:rPr>
        <w:t>.阶段性降低工伤保险费率政策。</w:t>
      </w:r>
      <w:r>
        <w:rPr>
          <w:rFonts w:hint="eastAsia" w:ascii="仿宋_GB2312" w:hAnsi="仿宋_GB2312" w:eastAsia="仿宋_GB2312" w:cs="仿宋_GB2312"/>
          <w:b w:val="0"/>
          <w:bCs w:val="0"/>
          <w:color w:val="auto"/>
          <w:sz w:val="32"/>
          <w:szCs w:val="32"/>
          <w:lang w:val="en-US" w:eastAsia="zh-CN"/>
        </w:rPr>
        <w:t>我区阶段性降低工伤保险费率政策延续执行至</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31</w:t>
      </w:r>
      <w:r>
        <w:rPr>
          <w:rFonts w:hint="eastAsia" w:ascii="仿宋_GB2312" w:hAnsi="仿宋_GB2312" w:eastAsia="仿宋_GB2312" w:cs="仿宋_GB2312"/>
          <w:b w:val="0"/>
          <w:bCs w:val="0"/>
          <w:color w:val="auto"/>
          <w:sz w:val="32"/>
          <w:szCs w:val="32"/>
          <w:lang w:val="en-US" w:eastAsia="zh-CN"/>
        </w:rPr>
        <w:t>日，政策执行期间，全区统一以现行基准费率为基础下调</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《广西壮族自治区人力资源和社会保障厅 广西壮族自治区财政厅 国家税务总局广西壮族自治区税务局关于延续实施阶段性降低工伤保险费率工作的通知》（桂人社函〔</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120</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72</w:t>
      </w:r>
      <w:r>
        <w:rPr>
          <w:rFonts w:hint="eastAsia" w:ascii="仿宋_GB2312" w:hAnsi="仿宋_GB2312" w:eastAsia="仿宋_GB2312" w:cs="仿宋_GB2312"/>
          <w:b/>
          <w:bCs/>
          <w:color w:val="auto"/>
          <w:sz w:val="32"/>
          <w:szCs w:val="32"/>
          <w:lang w:val="en-US" w:eastAsia="zh-CN"/>
        </w:rPr>
        <w:t>.延续实施失业保险援企稳岗政策。</w:t>
      </w:r>
      <w:r>
        <w:rPr>
          <w:rFonts w:hint="eastAsia" w:ascii="仿宋_GB2312" w:hAnsi="仿宋_GB2312" w:eastAsia="仿宋_GB2312" w:cs="仿宋_GB2312"/>
          <w:b w:val="0"/>
          <w:bCs w:val="0"/>
          <w:color w:val="auto"/>
          <w:sz w:val="32"/>
          <w:szCs w:val="32"/>
          <w:lang w:val="en-US" w:eastAsia="zh-CN"/>
        </w:rPr>
        <w:t>延续实施阶段性降低失业保险费率至</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的政策，用人单位和职工缴费比例均为</w:t>
      </w:r>
      <w:r>
        <w:rPr>
          <w:rFonts w:hint="default" w:ascii="Times New Roman" w:hAnsi="Times New Roman" w:eastAsia="仿宋_GB2312"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，实施期限至</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31</w:t>
      </w:r>
      <w:r>
        <w:rPr>
          <w:rFonts w:hint="eastAsia" w:ascii="仿宋_GB2312" w:hAnsi="仿宋_GB2312" w:eastAsia="仿宋_GB2312" w:cs="仿宋_GB2312"/>
          <w:b w:val="0"/>
          <w:bCs w:val="0"/>
          <w:color w:val="auto"/>
          <w:sz w:val="32"/>
          <w:szCs w:val="32"/>
          <w:lang w:val="en-US" w:eastAsia="zh-CN"/>
        </w:rPr>
        <w:t>日。</w:t>
      </w:r>
      <w:r>
        <w:rPr>
          <w:rFonts w:hint="eastAsia" w:ascii="仿宋_GB2312" w:hAnsi="仿宋_GB2312" w:eastAsia="仿宋_GB2312" w:cs="仿宋_GB2312"/>
          <w:b/>
          <w:bCs/>
          <w:color w:val="auto"/>
          <w:sz w:val="32"/>
          <w:szCs w:val="32"/>
          <w:lang w:val="en-US" w:eastAsia="zh-CN"/>
        </w:rPr>
        <w:t>《广西壮族自治区人力资源和社会保障厅 广西壮族自治区财政厅 国家税务总局广西壮族自治区税务局关于做好延续实施失业保险援企稳岗政策有关工作的通知》（桂人社发〔</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26</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73</w:t>
      </w:r>
      <w:r>
        <w:rPr>
          <w:rFonts w:hint="eastAsia" w:ascii="仿宋_GB2312" w:hAnsi="仿宋_GB2312" w:eastAsia="仿宋_GB2312" w:cs="仿宋_GB2312"/>
          <w:b/>
          <w:bCs/>
          <w:color w:val="auto"/>
          <w:sz w:val="32"/>
          <w:szCs w:val="32"/>
          <w:lang w:val="en-US" w:eastAsia="zh-CN"/>
        </w:rPr>
        <w:t>.就业补助。</w:t>
      </w:r>
      <w:r>
        <w:rPr>
          <w:rFonts w:hint="eastAsia" w:ascii="仿宋_GB2312" w:hAnsi="仿宋_GB2312" w:eastAsia="仿宋_GB2312" w:cs="仿宋_GB2312"/>
          <w:b w:val="0"/>
          <w:bCs w:val="0"/>
          <w:color w:val="auto"/>
          <w:sz w:val="32"/>
          <w:szCs w:val="32"/>
          <w:lang w:val="en-US" w:eastAsia="zh-CN"/>
        </w:rPr>
        <w:t>对首次在自治区内创办小微企业或从事个体经营的离校</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年内高校毕业生、就业困难人员，以及首次在乡镇及以下（不含城区、县城所在乡镇）创办小微企业或从事个体经营的返乡入乡农民工，所创办企业或个体工商户自工商注册登记之日起正常运营</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年以上的，按照每户</w:t>
      </w:r>
      <w:r>
        <w:rPr>
          <w:rFonts w:hint="default" w:ascii="Times New Roman" w:hAnsi="Times New Roman" w:eastAsia="仿宋_GB2312" w:cs="Times New Roman"/>
          <w:b w:val="0"/>
          <w:bCs w:val="0"/>
          <w:color w:val="auto"/>
          <w:sz w:val="32"/>
          <w:szCs w:val="32"/>
          <w:lang w:val="en-US" w:eastAsia="zh-CN"/>
        </w:rPr>
        <w:t>5000</w:t>
      </w:r>
      <w:r>
        <w:rPr>
          <w:rFonts w:hint="eastAsia" w:ascii="仿宋_GB2312" w:hAnsi="仿宋_GB2312" w:eastAsia="仿宋_GB2312" w:cs="仿宋_GB2312"/>
          <w:b w:val="0"/>
          <w:bCs w:val="0"/>
          <w:color w:val="auto"/>
          <w:sz w:val="32"/>
          <w:szCs w:val="32"/>
          <w:lang w:val="en-US" w:eastAsia="zh-CN"/>
        </w:rPr>
        <w:t>元的标准给予一次性创业补贴。就业困难人员社会保险补贴。对招用或通过公益性岗位安置就业困难人员，并依法为其缴纳社会保险费的单位，按其为就业困难人员实际缴纳的基本养老保险费、基本医疗保险费和失业保险费给予补贴。对实现灵活就业后以灵活就业人员身份缴纳职工社会保险费的就业困难高校毕业生社会保险补贴。对招用毕业年度和离校</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年内未就业高校毕业生，与之签订</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年以上劳动合同并依法为其缴纳社会保险费的小微企业，按其为高校毕业生实际缴纳的基本养老保险费、基本医疗保险费和失业保险费给予最长</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年的补贴。对灵活就业后以灵活就业人员身份缴纳职工社会保险费的离校</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年内高校毕业生，给予不超过其实际缴费</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的社会保险补贴，具体补贴标准由各地结合实际确定，补贴期限最长不超过</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脱贫劳动力（含防止返贫监测对象，下同）社会保险补贴。自治区内企业或社会组织吸纳脱贫劳动力就业，签订</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以上劳动合同并依法缴纳社会保险费的，按其为脱贫劳动力实际缴纳的基本养老保险费、基本医疗保险费和失业保险费给予补贴，不包括脱贫劳动力个人应缴纳的部分。补贴期限参照就业困难人员社会保险补贴期限执行。吸纳脱贫劳动力就业补贴。对招用脱贫劳动力，与之签订</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年（含）以上劳动合同并为其缴纳企业职工基本养老保险满</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个月的自治区内企业或社会组织，按照每人每年</w:t>
      </w:r>
      <w:r>
        <w:rPr>
          <w:rFonts w:hint="default" w:ascii="Times New Roman" w:hAnsi="Times New Roman" w:eastAsia="仿宋_GB2312" w:cs="Times New Roman"/>
          <w:b w:val="0"/>
          <w:bCs w:val="0"/>
          <w:color w:val="auto"/>
          <w:sz w:val="32"/>
          <w:szCs w:val="32"/>
          <w:lang w:val="en-US" w:eastAsia="zh-CN"/>
        </w:rPr>
        <w:t>2000</w:t>
      </w:r>
      <w:r>
        <w:rPr>
          <w:rFonts w:hint="eastAsia" w:ascii="仿宋_GB2312" w:hAnsi="仿宋_GB2312" w:eastAsia="仿宋_GB2312" w:cs="仿宋_GB2312"/>
          <w:b w:val="0"/>
          <w:bCs w:val="0"/>
          <w:color w:val="auto"/>
          <w:sz w:val="32"/>
          <w:szCs w:val="32"/>
          <w:lang w:val="en-US" w:eastAsia="zh-CN"/>
        </w:rPr>
        <w:t>元的标准给予吸纳就业补贴。对就业帮扶车间吸纳脱贫劳动力就业，签订劳务协议或承揽合同并为其购买意外伤害商业保险（每人每月不低于</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元，参加团体险的按人均计算），每个脱贫劳动力在</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年内累计工作不少于</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个月（季节性用工的种养式车间可适当放宽累计工作时间）且获得不低于</w:t>
      </w:r>
      <w:r>
        <w:rPr>
          <w:rFonts w:hint="default" w:ascii="Times New Roman" w:hAnsi="Times New Roman" w:eastAsia="仿宋_GB2312" w:cs="Times New Roman"/>
          <w:b w:val="0"/>
          <w:bCs w:val="0"/>
          <w:color w:val="auto"/>
          <w:sz w:val="32"/>
          <w:szCs w:val="32"/>
          <w:lang w:val="en-US" w:eastAsia="zh-CN"/>
        </w:rPr>
        <w:t>6000</w:t>
      </w:r>
      <w:r>
        <w:rPr>
          <w:rFonts w:hint="eastAsia" w:ascii="仿宋_GB2312" w:hAnsi="仿宋_GB2312" w:eastAsia="仿宋_GB2312" w:cs="仿宋_GB2312"/>
          <w:b w:val="0"/>
          <w:bCs w:val="0"/>
          <w:color w:val="auto"/>
          <w:sz w:val="32"/>
          <w:szCs w:val="32"/>
          <w:lang w:val="en-US" w:eastAsia="zh-CN"/>
        </w:rPr>
        <w:t>元劳动报酬的，按照每人每年</w:t>
      </w:r>
      <w:r>
        <w:rPr>
          <w:rFonts w:hint="default" w:ascii="Times New Roman" w:hAnsi="Times New Roman" w:eastAsia="仿宋_GB2312" w:cs="Times New Roman"/>
          <w:b w:val="0"/>
          <w:bCs w:val="0"/>
          <w:color w:val="auto"/>
          <w:sz w:val="32"/>
          <w:szCs w:val="32"/>
          <w:lang w:val="en-US" w:eastAsia="zh-CN"/>
        </w:rPr>
        <w:t>2000</w:t>
      </w:r>
      <w:r>
        <w:rPr>
          <w:rFonts w:hint="eastAsia" w:ascii="仿宋_GB2312" w:hAnsi="仿宋_GB2312" w:eastAsia="仿宋_GB2312" w:cs="仿宋_GB2312"/>
          <w:b w:val="0"/>
          <w:bCs w:val="0"/>
          <w:color w:val="auto"/>
          <w:sz w:val="32"/>
          <w:szCs w:val="32"/>
          <w:lang w:val="en-US" w:eastAsia="zh-CN"/>
        </w:rPr>
        <w:t>元的标准给予吸纳就业补贴。个体工商户吸纳高校毕业生就业一次性扩岗补贴。对招用离校</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年内高校毕业生就业，与之签订</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年以上劳动合同并为其缴纳企业职工基本养老保险、失业保险、工伤保险</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个月以上的个体工商户，按照每人</w:t>
      </w:r>
      <w:r>
        <w:rPr>
          <w:rFonts w:hint="default" w:ascii="Times New Roman" w:hAnsi="Times New Roman" w:eastAsia="仿宋_GB2312" w:cs="Times New Roman"/>
          <w:b w:val="0"/>
          <w:bCs w:val="0"/>
          <w:color w:val="auto"/>
          <w:sz w:val="32"/>
          <w:szCs w:val="32"/>
          <w:lang w:val="en-US" w:eastAsia="zh-CN"/>
        </w:rPr>
        <w:t>1500</w:t>
      </w:r>
      <w:r>
        <w:rPr>
          <w:rFonts w:hint="eastAsia" w:ascii="仿宋_GB2312" w:hAnsi="仿宋_GB2312" w:eastAsia="仿宋_GB2312" w:cs="仿宋_GB2312"/>
          <w:b w:val="0"/>
          <w:bCs w:val="0"/>
          <w:color w:val="auto"/>
          <w:sz w:val="32"/>
          <w:szCs w:val="32"/>
          <w:lang w:val="en-US" w:eastAsia="zh-CN"/>
        </w:rPr>
        <w:t>元的标准给予一次性扩岗补贴。对吸纳离校</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年内未就业高校毕业生和</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24</w:t>
      </w:r>
      <w:r>
        <w:rPr>
          <w:rFonts w:hint="eastAsia" w:ascii="仿宋_GB2312" w:hAnsi="仿宋_GB2312" w:eastAsia="仿宋_GB2312" w:cs="仿宋_GB2312"/>
          <w:b w:val="0"/>
          <w:bCs w:val="0"/>
          <w:color w:val="auto"/>
          <w:sz w:val="32"/>
          <w:szCs w:val="32"/>
          <w:lang w:val="en-US" w:eastAsia="zh-CN"/>
        </w:rPr>
        <w:t>岁登记失业青年参加就业见习的单位（经人社部门审核认定为就业见习基地），按见习期内见习人员实际在岗时间给予见习补贴，用于见习单位支付见习人员见习期间基本生活费、为见习人员办理人身意外伤害保险，以及对见习人员的指导管理费用。就业见习期一般为</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个月，见习期间补贴标准为</w:t>
      </w:r>
      <w:r>
        <w:rPr>
          <w:rFonts w:hint="default" w:ascii="Times New Roman" w:hAnsi="Times New Roman" w:eastAsia="仿宋_GB2312" w:cs="Times New Roman"/>
          <w:b w:val="0"/>
          <w:bCs w:val="0"/>
          <w:color w:val="auto"/>
          <w:sz w:val="32"/>
          <w:szCs w:val="32"/>
          <w:lang w:val="en-US" w:eastAsia="zh-CN"/>
        </w:rPr>
        <w:t>1500</w:t>
      </w:r>
      <w:r>
        <w:rPr>
          <w:rFonts w:hint="eastAsia" w:ascii="仿宋_GB2312" w:hAnsi="仿宋_GB2312" w:eastAsia="仿宋_GB2312" w:cs="仿宋_GB2312"/>
          <w:b w:val="0"/>
          <w:bCs w:val="0"/>
          <w:color w:val="auto"/>
          <w:sz w:val="32"/>
          <w:szCs w:val="32"/>
          <w:lang w:val="en-US" w:eastAsia="zh-CN"/>
        </w:rPr>
        <w:t>元/人·月，对见习人员见习期满留用率达到</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以上的单位，提高见习补贴标准至</w:t>
      </w:r>
      <w:r>
        <w:rPr>
          <w:rFonts w:hint="default" w:ascii="Times New Roman" w:hAnsi="Times New Roman" w:eastAsia="仿宋_GB2312" w:cs="Times New Roman"/>
          <w:b w:val="0"/>
          <w:bCs w:val="0"/>
          <w:color w:val="auto"/>
          <w:sz w:val="32"/>
          <w:szCs w:val="32"/>
          <w:lang w:val="en-US" w:eastAsia="zh-CN"/>
        </w:rPr>
        <w:t>2000</w:t>
      </w:r>
      <w:r>
        <w:rPr>
          <w:rFonts w:hint="eastAsia" w:ascii="仿宋_GB2312" w:hAnsi="仿宋_GB2312" w:eastAsia="仿宋_GB2312" w:cs="仿宋_GB2312"/>
          <w:b w:val="0"/>
          <w:bCs w:val="0"/>
          <w:color w:val="auto"/>
          <w:sz w:val="32"/>
          <w:szCs w:val="32"/>
          <w:lang w:val="en-US" w:eastAsia="zh-CN"/>
        </w:rPr>
        <w:t>元/人·月。</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）企业职工岗位技能培训补贴：企业新录用的六类人员，与企业签订</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年以上期限劳动合同，并于签订劳动合同之日起</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年内参加由企业依托所属培训机构或职业培训机构目录内的培训机构开展岗位技能培训，培训后取得证书的，按照广西职业技能培训补贴基准给予岗位技能培训补贴。</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）企业新型学徒制培训补贴：企业新型学徒制培训职业（工种）应为《中华人民共和国职业分类大典（</w:t>
      </w:r>
      <w:r>
        <w:rPr>
          <w:rFonts w:hint="default" w:ascii="Times New Roman" w:hAnsi="Times New Roman" w:eastAsia="仿宋_GB2312" w:cs="Times New Roman"/>
          <w:b w:val="0"/>
          <w:bCs w:val="0"/>
          <w:color w:val="auto"/>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年版）》规定的第六大类所有职业（工种）或第四大类中的第二中类职业（工种）。培训对象主要是与企业签订</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年以上劳动合同的技能岗位员工，由企业结合生产实际自主确定。企业技能岗位在职职工按规定参加企业新型学徒制培训后取得相应证书的。按照中级工</w:t>
      </w:r>
      <w:r>
        <w:rPr>
          <w:rFonts w:hint="default" w:ascii="Times New Roman" w:hAnsi="Times New Roman" w:eastAsia="仿宋_GB2312" w:cs="Times New Roman"/>
          <w:b w:val="0"/>
          <w:bCs w:val="0"/>
          <w:color w:val="auto"/>
          <w:sz w:val="32"/>
          <w:szCs w:val="32"/>
          <w:lang w:val="en-US" w:eastAsia="zh-CN"/>
        </w:rPr>
        <w:t>5000</w:t>
      </w:r>
      <w:r>
        <w:rPr>
          <w:rFonts w:hint="eastAsia" w:ascii="仿宋_GB2312" w:hAnsi="仿宋_GB2312" w:eastAsia="仿宋_GB2312" w:cs="仿宋_GB2312"/>
          <w:b w:val="0"/>
          <w:bCs w:val="0"/>
          <w:color w:val="auto"/>
          <w:sz w:val="32"/>
          <w:szCs w:val="32"/>
          <w:lang w:val="en-US" w:eastAsia="zh-CN"/>
        </w:rPr>
        <w:t>元/人·年、高级工</w:t>
      </w:r>
      <w:r>
        <w:rPr>
          <w:rFonts w:hint="default" w:ascii="Times New Roman" w:hAnsi="Times New Roman" w:eastAsia="仿宋_GB2312" w:cs="Times New Roman"/>
          <w:b w:val="0"/>
          <w:bCs w:val="0"/>
          <w:color w:val="auto"/>
          <w:sz w:val="32"/>
          <w:szCs w:val="32"/>
          <w:lang w:val="en-US" w:eastAsia="zh-CN"/>
        </w:rPr>
        <w:t>6000</w:t>
      </w:r>
      <w:r>
        <w:rPr>
          <w:rFonts w:hint="eastAsia" w:ascii="仿宋_GB2312" w:hAnsi="仿宋_GB2312" w:eastAsia="仿宋_GB2312" w:cs="仿宋_GB2312"/>
          <w:b w:val="0"/>
          <w:bCs w:val="0"/>
          <w:color w:val="auto"/>
          <w:sz w:val="32"/>
          <w:szCs w:val="32"/>
          <w:lang w:val="en-US" w:eastAsia="zh-CN"/>
        </w:rPr>
        <w:t>元/人·年、技师</w:t>
      </w:r>
      <w:r>
        <w:rPr>
          <w:rFonts w:hint="default" w:ascii="Times New Roman" w:hAnsi="Times New Roman" w:eastAsia="仿宋_GB2312" w:cs="Times New Roman"/>
          <w:b w:val="0"/>
          <w:bCs w:val="0"/>
          <w:color w:val="auto"/>
          <w:sz w:val="32"/>
          <w:szCs w:val="32"/>
          <w:lang w:val="en-US" w:eastAsia="zh-CN"/>
        </w:rPr>
        <w:t>8000</w:t>
      </w:r>
      <w:r>
        <w:rPr>
          <w:rFonts w:hint="eastAsia" w:ascii="仿宋_GB2312" w:hAnsi="仿宋_GB2312" w:eastAsia="仿宋_GB2312" w:cs="仿宋_GB2312"/>
          <w:b w:val="0"/>
          <w:bCs w:val="0"/>
          <w:color w:val="auto"/>
          <w:sz w:val="32"/>
          <w:szCs w:val="32"/>
          <w:lang w:val="en-US" w:eastAsia="zh-CN"/>
        </w:rPr>
        <w:t>元/人·年、高级技师</w:t>
      </w:r>
      <w:r>
        <w:rPr>
          <w:rFonts w:hint="default" w:ascii="Times New Roman" w:hAnsi="Times New Roman" w:eastAsia="仿宋_GB2312" w:cs="Times New Roman"/>
          <w:b w:val="0"/>
          <w:bCs w:val="0"/>
          <w:color w:val="auto"/>
          <w:sz w:val="32"/>
          <w:szCs w:val="32"/>
          <w:lang w:val="en-US" w:eastAsia="zh-CN"/>
        </w:rPr>
        <w:t>10000</w:t>
      </w:r>
      <w:r>
        <w:rPr>
          <w:rFonts w:hint="eastAsia" w:ascii="仿宋_GB2312" w:hAnsi="仿宋_GB2312" w:eastAsia="仿宋_GB2312" w:cs="仿宋_GB2312"/>
          <w:b w:val="0"/>
          <w:bCs w:val="0"/>
          <w:color w:val="auto"/>
          <w:sz w:val="32"/>
          <w:szCs w:val="32"/>
          <w:lang w:val="en-US" w:eastAsia="zh-CN"/>
        </w:rPr>
        <w:t>元/人·年的标准给予培训补贴。培训后未能达到培训目标的，按不超过补贴标准的</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给予补贴。</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）企业职工技师培训补贴：企业组织符合条件的企业职工参加技师培训，培训后取得证书的，按照广西职业技能培训补贴基准给予岗位技能培训补贴。</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《广西壮族自治区人力资源和社会保障厅广西壮族自治区财政厅关于印发广西壮族自治区就业补助资金管理办法的通知》（桂人社规〔</w:t>
      </w:r>
      <w:r>
        <w:rPr>
          <w:rFonts w:hint="default" w:ascii="Times New Roman" w:hAnsi="Times New Roman" w:eastAsia="仿宋_GB2312" w:cs="Times New Roman"/>
          <w:b/>
          <w:bCs/>
          <w:color w:val="auto"/>
          <w:sz w:val="32"/>
          <w:szCs w:val="32"/>
          <w:lang w:val="en-US" w:eastAsia="zh-CN"/>
        </w:rPr>
        <w:t>2024</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9</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74</w:t>
      </w:r>
      <w:r>
        <w:rPr>
          <w:rFonts w:hint="eastAsia" w:ascii="仿宋_GB2312" w:hAnsi="仿宋_GB2312" w:eastAsia="仿宋_GB2312" w:cs="仿宋_GB2312"/>
          <w:b/>
          <w:bCs/>
          <w:color w:val="auto"/>
          <w:sz w:val="32"/>
          <w:szCs w:val="32"/>
          <w:lang w:val="en-US" w:eastAsia="zh-CN"/>
        </w:rPr>
        <w:t>.知识产权奖励。</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知识产权创造领域支持标准。</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）获得中国专利奖和广西专利奖奖励。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①获得中国专利金奖、银奖、优秀奖的，分别奖励</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万元/件、</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万元/件、</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万元/件。</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②获得中国外观设计金奖、银奖、优秀奖的，分别奖励</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万元/件、</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万元/件、</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万元/件。</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③获得广西专利奖的，奖励标准按《自治区市场监管局关于印发广西壮族自治区专利奖评奖办法（试行）的通知》（桂市监规〔</w:t>
      </w:r>
      <w:r>
        <w:rPr>
          <w:rFonts w:hint="default" w:ascii="Times New Roman" w:hAnsi="Times New Roman" w:eastAsia="仿宋_GB2312" w:cs="Times New Roman"/>
          <w:b w:val="0"/>
          <w:bCs w:val="0"/>
          <w:color w:val="auto"/>
          <w:sz w:val="32"/>
          <w:szCs w:val="32"/>
          <w:lang w:val="en-US" w:eastAsia="zh-CN"/>
        </w:rPr>
        <w:t>2020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号）执行。</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）获得高价值商标品牌奖励。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①新入围世界品牌实验室发布的中国品牌价值排行年度</w:t>
      </w:r>
      <w:r>
        <w:rPr>
          <w:rFonts w:hint="default" w:ascii="Times New Roman" w:hAnsi="Times New Roman" w:eastAsia="仿宋_GB2312" w:cs="Times New Roman"/>
          <w:b w:val="0"/>
          <w:bCs w:val="0"/>
          <w:color w:val="auto"/>
          <w:sz w:val="32"/>
          <w:szCs w:val="32"/>
          <w:lang w:val="en-US" w:eastAsia="zh-CN"/>
        </w:rPr>
        <w:t>500</w:t>
      </w:r>
      <w:r>
        <w:rPr>
          <w:rFonts w:hint="eastAsia" w:ascii="仿宋_GB2312" w:hAnsi="仿宋_GB2312" w:eastAsia="仿宋_GB2312" w:cs="仿宋_GB2312"/>
          <w:b w:val="0"/>
          <w:bCs w:val="0"/>
          <w:color w:val="auto"/>
          <w:sz w:val="32"/>
          <w:szCs w:val="32"/>
          <w:lang w:val="en-US" w:eastAsia="zh-CN"/>
        </w:rPr>
        <w:t>强的品牌，奖励</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万元/家。</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②新入围依据全国品牌评价标准技术委员会或品牌价值评价国际标准化技术委员会认证的评价体系和标准开展的全国性品牌价值评价行业</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强，奖励</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万元/家。</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）获得地理标志及马德里商标注册补助。</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①获得地理标志商标注册（一个注册号）或获批地理标志保护产品，且有市场主体获准使用地理标志专用标志的地理标志权利人，补助</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②获得马德里商标国际注册（一个注册号）且该商标在海外</w:t>
      </w:r>
      <w:r>
        <w:rPr>
          <w:rFonts w:hint="eastAsia" w:ascii="仿宋_GB2312" w:hAnsi="仿宋_GB2312" w:eastAsia="仿宋_GB2312" w:cs="仿宋_GB2312"/>
          <w:b w:val="0"/>
          <w:bCs w:val="0"/>
          <w:color w:val="auto"/>
          <w:spacing w:val="-6"/>
          <w:sz w:val="32"/>
          <w:szCs w:val="32"/>
          <w:lang w:val="en-US" w:eastAsia="zh-CN"/>
        </w:rPr>
        <w:t>进行商标使用的，给予马德里商标国际注册权利人补助</w:t>
      </w:r>
      <w:r>
        <w:rPr>
          <w:rFonts w:hint="default" w:ascii="Times New Roman" w:hAnsi="Times New Roman" w:eastAsia="仿宋_GB2312" w:cs="Times New Roman"/>
          <w:b w:val="0"/>
          <w:bCs w:val="0"/>
          <w:color w:val="auto"/>
          <w:spacing w:val="-6"/>
          <w:sz w:val="32"/>
          <w:szCs w:val="32"/>
          <w:lang w:val="en-US" w:eastAsia="zh-CN"/>
        </w:rPr>
        <w:t>3</w:t>
      </w:r>
      <w:r>
        <w:rPr>
          <w:rFonts w:hint="eastAsia" w:ascii="仿宋_GB2312" w:hAnsi="仿宋_GB2312" w:eastAsia="仿宋_GB2312" w:cs="仿宋_GB2312"/>
          <w:b w:val="0"/>
          <w:bCs w:val="0"/>
          <w:color w:val="auto"/>
          <w:spacing w:val="-6"/>
          <w:sz w:val="32"/>
          <w:szCs w:val="32"/>
          <w:lang w:val="en-US" w:eastAsia="zh-CN"/>
        </w:rPr>
        <w:t>万元/个。</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知识产权运用领域支持标准。</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）知识产权示范优势企业奖励。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①获得国家知识产权主管部门新认定的国家知识产权示范企业，奖励</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万元/家；通过复核的，奖励</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万元/家。</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②获得国家知识产权主管部门新认定的国家知识产权优势企业，奖励</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万元/家；通过复核的，奖励</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万元/家。</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）知识产权运营奖励。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①知识产权质押融资担保费补助。企业以知识产权质押方式，通过融资性担保机构获得贷款且获得“桂惠贷—知识产权质押贷”贴息的，按其实际支出担保费的</w:t>
      </w:r>
      <w:r>
        <w:rPr>
          <w:rFonts w:hint="default" w:ascii="Times New Roman" w:hAnsi="Times New Roman" w:eastAsia="仿宋_GB2312"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给予一次性补助，每年补助不超过</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万元/家。</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②知识产权保险补助。购买知识产权相关保险产品的单位或自然人，按实际支出保费的</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予以补助，同一单位或自然人每年补助不超过</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万元。</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③知识产权证券化奖励。以知识产权为基础资产公开发行知识产权证券化产品的发行主体，按其实际发行金额的</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给予一次性奖励，单个发行主体每年奖励不超过</w:t>
      </w:r>
      <w:r>
        <w:rPr>
          <w:rFonts w:hint="default" w:ascii="Times New Roman" w:hAnsi="Times New Roman" w:eastAsia="仿宋_GB2312" w:cs="Times New Roman"/>
          <w:b w:val="0"/>
          <w:bCs w:val="0"/>
          <w:color w:val="auto"/>
          <w:sz w:val="32"/>
          <w:szCs w:val="32"/>
          <w:lang w:val="en-US" w:eastAsia="zh-CN"/>
        </w:rPr>
        <w:t>300</w:t>
      </w:r>
      <w:r>
        <w:rPr>
          <w:rFonts w:hint="eastAsia" w:ascii="仿宋_GB2312" w:hAnsi="仿宋_GB2312" w:eastAsia="仿宋_GB2312" w:cs="仿宋_GB2312"/>
          <w:b w:val="0"/>
          <w:bCs w:val="0"/>
          <w:color w:val="auto"/>
          <w:sz w:val="32"/>
          <w:szCs w:val="32"/>
          <w:lang w:val="en-US" w:eastAsia="zh-CN"/>
        </w:rPr>
        <w:t xml:space="preserve">万元。对推动知识产权证券化产品成功发行的牵头服务机构给予一次性奖励，奖励额度为实际发行金额的 </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，同一服务机构每年奖励不超过</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④知识产权转化运用奖补。获批国家地理标志运用促进工程项目，奖励</w:t>
      </w:r>
      <w:r>
        <w:rPr>
          <w:rFonts w:hint="default" w:ascii="Times New Roman" w:hAnsi="Times New Roman" w:eastAsia="仿宋_GB2312" w:cs="Times New Roman"/>
          <w:b w:val="0"/>
          <w:bCs w:val="0"/>
          <w:color w:val="auto"/>
          <w:sz w:val="32"/>
          <w:szCs w:val="32"/>
          <w:lang w:val="en-US" w:eastAsia="zh-CN"/>
        </w:rPr>
        <w:t>40</w:t>
      </w:r>
      <w:r>
        <w:rPr>
          <w:rFonts w:hint="eastAsia" w:ascii="仿宋_GB2312" w:hAnsi="仿宋_GB2312" w:eastAsia="仿宋_GB2312" w:cs="仿宋_GB2312"/>
          <w:b w:val="0"/>
          <w:bCs w:val="0"/>
          <w:color w:val="auto"/>
          <w:sz w:val="32"/>
          <w:szCs w:val="32"/>
          <w:lang w:val="en-US" w:eastAsia="zh-CN"/>
        </w:rPr>
        <w:t>万元/个；获批地理标志运用促进（广西）工程项目，奖励</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知识产权保护领域支持标准。</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）知识产权保护平台建设奖励。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①获得国家知识产权主管部门新认定的国家知识产权保护示范区、知识产权保护中心，奖励</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②获得国家知识产权主管部门新认定的国家海外知识产权纠纷应对指导中心地方分中心、知识产权快速维权中心、知识产权保护规范化市场、行政裁决试点、知识产权领域信用分级分类监管试点，奖励</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）地理标志保护示范区奖补。</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①获得国家知识产权主管部门新认定的国家地理标志产品保护示范区的申报主体，奖励</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②获得国家知识产权主管部门新认定的中国驰名商标的，给予商标权利人一次性维权补助</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）企事业单位知识产权维权成本后补助。</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支持相关企业、事业单位开展知识产权维权，收到人民法院、仲裁委员会、管理专利工作的部门作出的胜诉的生效判决书、裁决书、裁定书的知识产权维权案件（申请人被认定构成侵权的，不予补助），按向人民法院、仲裁委员会、鉴定机构缴纳的诉讼费、仲裁费、司法鉴定费的</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给予补助。</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①对中国发明专利维权胜诉的企事业单位，同一企事业单位每年补助不超过</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万元；对中国实用新型专利、外观设计专利维权胜诉的企事业单位，同一企事业单位每年补助不超</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万元。一个知识产权维权案件同时涉及中国发明专利维权、中国实用新型专利（或中国外观设计专利）维权的，按照中国发明专利维权胜诉标准予以补助。</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②对国外专利维权胜诉的企事业单位，同一企事业单位每年补助不超过</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万元；对国外工业品外观设计维权胜诉的企事业单位，同一企事业单位每年补助不超过</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一个知识产权维权案件同时涉及国外专利维权和国外工业品外观设计维权的，按照国外专利维权胜诉标准予以补助。对既有国外专利维权胜诉，又有国外工业品外观设计维权胜诉的企事业单位，每年累计补助不超过</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③对既有中国专利维权胜诉，又有国外专利或国外工业品外观设计维权胜诉的企事业单位，每年累计补助不超过</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知识产权管理领域支持标准。</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）区域知识产权试点示范奖励。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①获得国家知识产权主管部门新认定和通过考核验收的国家知识产权强市建设示范城市，奖励</w:t>
      </w:r>
      <w:r>
        <w:rPr>
          <w:rFonts w:hint="default" w:ascii="Times New Roman" w:hAnsi="Times New Roman" w:eastAsia="仿宋_GB2312" w:cs="Times New Roman"/>
          <w:b w:val="0"/>
          <w:bCs w:val="0"/>
          <w:color w:val="auto"/>
          <w:sz w:val="32"/>
          <w:szCs w:val="32"/>
          <w:lang w:val="en-US" w:eastAsia="zh-CN"/>
        </w:rPr>
        <w:t>300</w:t>
      </w:r>
      <w:r>
        <w:rPr>
          <w:rFonts w:hint="eastAsia" w:ascii="仿宋_GB2312" w:hAnsi="仿宋_GB2312" w:eastAsia="仿宋_GB2312" w:cs="仿宋_GB2312"/>
          <w:b w:val="0"/>
          <w:bCs w:val="0"/>
          <w:color w:val="auto"/>
          <w:sz w:val="32"/>
          <w:szCs w:val="32"/>
          <w:lang w:val="en-US" w:eastAsia="zh-CN"/>
        </w:rPr>
        <w:t>万元/个。按年度考核评价结果分期拨付。</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②获得国家知识产权主管部门新认定和通过考核验收的国家知识产权强市建设试点城市、国家知识产权强县建设示范县（市、区）、国家知识产权强国建设示范园区奖励</w:t>
      </w:r>
      <w:r>
        <w:rPr>
          <w:rFonts w:hint="default" w:ascii="Times New Roman" w:hAnsi="Times New Roman" w:eastAsia="仿宋_GB2312" w:cs="Times New Roman"/>
          <w:b w:val="0"/>
          <w:bCs w:val="0"/>
          <w:color w:val="auto"/>
          <w:sz w:val="32"/>
          <w:szCs w:val="32"/>
          <w:lang w:val="en-US" w:eastAsia="zh-CN"/>
        </w:rPr>
        <w:t>150</w:t>
      </w:r>
      <w:r>
        <w:rPr>
          <w:rFonts w:hint="eastAsia" w:ascii="仿宋_GB2312" w:hAnsi="仿宋_GB2312" w:eastAsia="仿宋_GB2312" w:cs="仿宋_GB2312"/>
          <w:b w:val="0"/>
          <w:bCs w:val="0"/>
          <w:color w:val="auto"/>
          <w:sz w:val="32"/>
          <w:szCs w:val="32"/>
          <w:lang w:val="en-US" w:eastAsia="zh-CN"/>
        </w:rPr>
        <w:t>万元/个。按年度考核评价结果分期拨付。</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③获得国家知识产权主管部门新认定和通过考核验收的国家知识产权强县建设试点县（市、区）、国家知识产权强国建设试点园区奖励</w:t>
      </w:r>
      <w:r>
        <w:rPr>
          <w:rFonts w:hint="default" w:ascii="Times New Roman" w:hAnsi="Times New Roman" w:eastAsia="仿宋_GB2312" w:cs="Times New Roman"/>
          <w:b w:val="0"/>
          <w:bCs w:val="0"/>
          <w:color w:val="auto"/>
          <w:sz w:val="32"/>
          <w:szCs w:val="32"/>
          <w:lang w:val="en-US" w:eastAsia="zh-CN"/>
        </w:rPr>
        <w:t>90</w:t>
      </w:r>
      <w:r>
        <w:rPr>
          <w:rFonts w:hint="eastAsia" w:ascii="仿宋_GB2312" w:hAnsi="仿宋_GB2312" w:eastAsia="仿宋_GB2312" w:cs="仿宋_GB2312"/>
          <w:b w:val="0"/>
          <w:bCs w:val="0"/>
          <w:color w:val="auto"/>
          <w:sz w:val="32"/>
          <w:szCs w:val="32"/>
          <w:lang w:val="en-US" w:eastAsia="zh-CN"/>
        </w:rPr>
        <w:t>万元/个。按年度考核评价结果分期拨付。</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）知识产权试点示范学校奖励。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①获得国家知识产权主管部门新认定的国家知识产权示范高校、试点高校分别奖励</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万元/个、</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②获得国家知识产权主管部门新认定的全国中小学知识产权教育示范学校、试点学校分别奖励</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万元/个、</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知识产权服务领域支持标准。</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）知识产权培训基地奖励。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国家级知识产权培训基地每年度按其承担自治区相关知识产权培训绩效评价结果，奖励不超过</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万元/家。</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）知识产权公共服务平台奖励。</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①获得国家知识产权主管部门新认定的国家专利导航工程支撑服务机构、世界知识产权组织技术与创新支持中心（</w:t>
      </w:r>
      <w:r>
        <w:rPr>
          <w:rFonts w:hint="default" w:ascii="Times New Roman" w:hAnsi="Times New Roman" w:eastAsia="仿宋_GB2312" w:cs="Times New Roman"/>
          <w:b w:val="0"/>
          <w:bCs w:val="0"/>
          <w:color w:val="auto"/>
          <w:sz w:val="32"/>
          <w:szCs w:val="32"/>
          <w:lang w:val="en-US" w:eastAsia="zh-CN"/>
        </w:rPr>
        <w:t>TISC</w:t>
      </w:r>
      <w:r>
        <w:rPr>
          <w:rFonts w:hint="eastAsia" w:ascii="仿宋_GB2312" w:hAnsi="仿宋_GB2312" w:eastAsia="仿宋_GB2312" w:cs="仿宋_GB2312"/>
          <w:b w:val="0"/>
          <w:bCs w:val="0"/>
          <w:color w:val="auto"/>
          <w:sz w:val="32"/>
          <w:szCs w:val="32"/>
          <w:lang w:val="en-US" w:eastAsia="zh-CN"/>
        </w:rPr>
        <w:t>），奖励</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万元/个；获得国家级知识产权服务业集聚区、高校国家知识产权信息服务中心、国家知识产权公共服务网点，奖励</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②通过复核的国家专利导航工程支撑服务机构、世界知识产权组织技术与创新支持中心（</w:t>
      </w:r>
      <w:r>
        <w:rPr>
          <w:rFonts w:hint="default" w:ascii="Times New Roman" w:hAnsi="Times New Roman" w:eastAsia="仿宋_GB2312" w:cs="Times New Roman"/>
          <w:b w:val="0"/>
          <w:bCs w:val="0"/>
          <w:color w:val="auto"/>
          <w:sz w:val="32"/>
          <w:szCs w:val="32"/>
          <w:lang w:val="en-US" w:eastAsia="zh-CN"/>
        </w:rPr>
        <w:t>TISC</w:t>
      </w:r>
      <w:r>
        <w:rPr>
          <w:rFonts w:hint="eastAsia" w:ascii="仿宋_GB2312" w:hAnsi="仿宋_GB2312" w:eastAsia="仿宋_GB2312" w:cs="仿宋_GB2312"/>
          <w:b w:val="0"/>
          <w:bCs w:val="0"/>
          <w:color w:val="auto"/>
          <w:sz w:val="32"/>
          <w:szCs w:val="32"/>
          <w:lang w:val="en-US" w:eastAsia="zh-CN"/>
        </w:rPr>
        <w:t>），奖励</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万元/个；通过复核的国家级知识产权服务业集聚区、高校知识产权信息中心、国家知识产权公共服务网点，奖励</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万元/个。</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《广西壮族自治区知识产权专项经费管理办法》(桂财规〔</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号)</w:t>
      </w:r>
    </w:p>
    <w:p>
      <w:pPr>
        <w:numPr>
          <w:ilvl w:val="0"/>
          <w:numId w:val="0"/>
        </w:numPr>
        <w:spacing w:beforeLines="0" w:afterLines="0" w:line="560" w:lineRule="exact"/>
        <w:ind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75</w:t>
      </w:r>
      <w:r>
        <w:rPr>
          <w:rFonts w:hint="eastAsia" w:ascii="仿宋_GB2312" w:hAnsi="仿宋_GB2312" w:eastAsia="仿宋_GB2312" w:cs="仿宋_GB2312"/>
          <w:b/>
          <w:bCs/>
          <w:color w:val="auto"/>
          <w:sz w:val="32"/>
          <w:szCs w:val="32"/>
          <w:lang w:val="en-US" w:eastAsia="zh-CN"/>
        </w:rPr>
        <w:t>.自治区主席质量奖补助。</w:t>
      </w:r>
      <w:r>
        <w:rPr>
          <w:rFonts w:hint="eastAsia" w:ascii="仿宋_GB2312" w:hAnsi="仿宋_GB2312" w:eastAsia="仿宋_GB2312" w:cs="仿宋_GB2312"/>
          <w:b w:val="0"/>
          <w:bCs w:val="0"/>
          <w:color w:val="auto"/>
          <w:sz w:val="32"/>
          <w:szCs w:val="32"/>
          <w:lang w:val="en-US" w:eastAsia="zh-CN"/>
        </w:rPr>
        <w:t>自治区人民政府对获得自治区主席质量奖的企业或组织颁发奖杯、证书，并给予每个获奖企业或组织</w:t>
      </w:r>
      <w:r>
        <w:rPr>
          <w:rFonts w:hint="default" w:ascii="Times New Roman" w:hAnsi="Times New Roman" w:eastAsia="仿宋_GB2312" w:cs="Times New Roman"/>
          <w:b w:val="0"/>
          <w:bCs w:val="0"/>
          <w:color w:val="auto"/>
          <w:sz w:val="32"/>
          <w:szCs w:val="32"/>
          <w:lang w:val="en-US" w:eastAsia="zh-CN"/>
        </w:rPr>
        <w:t>100</w:t>
      </w:r>
      <w:r>
        <w:rPr>
          <w:rFonts w:hint="eastAsia" w:ascii="仿宋_GB2312" w:hAnsi="仿宋_GB2312" w:eastAsia="仿宋_GB2312" w:cs="仿宋_GB2312"/>
          <w:b w:val="0"/>
          <w:bCs w:val="0"/>
          <w:color w:val="auto"/>
          <w:sz w:val="32"/>
          <w:szCs w:val="32"/>
          <w:lang w:val="en-US" w:eastAsia="zh-CN"/>
        </w:rPr>
        <w:t>万元的奖励补助；对获得自治区主席质量奖提名奖的企业或组织颁发证书。</w:t>
      </w:r>
      <w:r>
        <w:rPr>
          <w:rFonts w:hint="eastAsia" w:ascii="仿宋_GB2312" w:hAnsi="仿宋_GB2312" w:eastAsia="仿宋_GB2312" w:cs="仿宋_GB2312"/>
          <w:b/>
          <w:bCs/>
          <w:color w:val="auto"/>
          <w:sz w:val="32"/>
          <w:szCs w:val="32"/>
          <w:lang w:val="en-US" w:eastAsia="zh-CN"/>
        </w:rPr>
        <w:t>《广西壮族自治区人民政府关于印发广西</w:t>
      </w:r>
      <w:r>
        <w:rPr>
          <w:rFonts w:hint="eastAsia" w:ascii="仿宋_GB2312" w:hAnsi="仿宋_GB2312" w:eastAsia="仿宋_GB2312" w:cs="仿宋_GB2312"/>
          <w:b/>
          <w:bCs/>
          <w:color w:val="auto"/>
          <w:spacing w:val="-6"/>
          <w:sz w:val="32"/>
          <w:szCs w:val="32"/>
          <w:lang w:val="en-US" w:eastAsia="zh-CN"/>
        </w:rPr>
        <w:t>壮族自治区主席质量奖管理办法的通知》（桂政发〔</w:t>
      </w:r>
      <w:r>
        <w:rPr>
          <w:rFonts w:hint="default" w:ascii="Times New Roman" w:hAnsi="Times New Roman" w:eastAsia="仿宋_GB2312" w:cs="Times New Roman"/>
          <w:b/>
          <w:bCs/>
          <w:color w:val="auto"/>
          <w:spacing w:val="-6"/>
          <w:sz w:val="32"/>
          <w:szCs w:val="32"/>
          <w:lang w:val="en-US" w:eastAsia="zh-CN"/>
        </w:rPr>
        <w:t>2024</w:t>
      </w:r>
      <w:r>
        <w:rPr>
          <w:rFonts w:hint="eastAsia" w:ascii="仿宋_GB2312" w:hAnsi="仿宋_GB2312" w:eastAsia="仿宋_GB2312" w:cs="仿宋_GB2312"/>
          <w:b/>
          <w:bCs/>
          <w:color w:val="auto"/>
          <w:spacing w:val="-6"/>
          <w:sz w:val="32"/>
          <w:szCs w:val="32"/>
          <w:lang w:val="en-US" w:eastAsia="zh-CN"/>
        </w:rPr>
        <w:t>〕</w:t>
      </w:r>
      <w:r>
        <w:rPr>
          <w:rFonts w:hint="default" w:ascii="Times New Roman" w:hAnsi="Times New Roman" w:eastAsia="仿宋_GB2312" w:cs="Times New Roman"/>
          <w:b/>
          <w:bCs/>
          <w:color w:val="auto"/>
          <w:spacing w:val="-6"/>
          <w:sz w:val="32"/>
          <w:szCs w:val="32"/>
          <w:lang w:val="en-US" w:eastAsia="zh-CN"/>
        </w:rPr>
        <w:t>11</w:t>
      </w:r>
      <w:r>
        <w:rPr>
          <w:rFonts w:hint="eastAsia" w:ascii="仿宋_GB2312" w:hAnsi="仿宋_GB2312" w:eastAsia="仿宋_GB2312" w:cs="仿宋_GB2312"/>
          <w:b/>
          <w:bCs/>
          <w:color w:val="auto"/>
          <w:spacing w:val="-6"/>
          <w:sz w:val="32"/>
          <w:szCs w:val="32"/>
          <w:lang w:val="en-US" w:eastAsia="zh-CN"/>
        </w:rPr>
        <w:t>号）</w:t>
      </w:r>
    </w:p>
    <w:p>
      <w:pPr>
        <w:numPr>
          <w:ilvl w:val="0"/>
          <w:numId w:val="0"/>
        </w:numPr>
        <w:spacing w:beforeLines="0" w:afterLines="0" w:line="560" w:lineRule="exact"/>
        <w:ind w:leftChars="0" w:firstLine="642" w:firstLineChars="200"/>
        <w:jc w:val="both"/>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76</w:t>
      </w:r>
      <w:r>
        <w:rPr>
          <w:rFonts w:hint="eastAsia" w:ascii="仿宋_GB2312" w:hAnsi="仿宋_GB2312" w:eastAsia="仿宋_GB2312" w:cs="仿宋_GB2312"/>
          <w:b/>
          <w:bCs/>
          <w:color w:val="auto"/>
          <w:sz w:val="32"/>
          <w:szCs w:val="32"/>
          <w:lang w:val="en-US" w:eastAsia="zh-CN"/>
        </w:rPr>
        <w:t>.玉林市市长质量奖补助。</w:t>
      </w:r>
      <w:r>
        <w:rPr>
          <w:rFonts w:hint="eastAsia" w:ascii="仿宋_GB2312" w:hAnsi="仿宋_GB2312" w:eastAsia="仿宋_GB2312" w:cs="仿宋_GB2312"/>
          <w:b w:val="0"/>
          <w:bCs w:val="0"/>
          <w:color w:val="auto"/>
          <w:sz w:val="32"/>
          <w:szCs w:val="32"/>
          <w:lang w:val="en-US" w:eastAsia="zh-CN"/>
        </w:rPr>
        <w:t>由市政府向获得玉林市市长质量奖的企业或组织颁发奖杯，并给予每个获得玉林市市长质量奖的企业或组织一次性发放质量发展扶持资金</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万元。对获得玉林市市长质量奖提名奖的企业或组织颁发奖牌。</w:t>
      </w:r>
      <w:r>
        <w:rPr>
          <w:rFonts w:hint="eastAsia" w:ascii="仿宋_GB2312" w:hAnsi="仿宋_GB2312" w:eastAsia="仿宋_GB2312" w:cs="仿宋_GB2312"/>
          <w:b/>
          <w:bCs/>
          <w:color w:val="auto"/>
          <w:sz w:val="32"/>
          <w:szCs w:val="32"/>
          <w:lang w:val="en-US" w:eastAsia="zh-CN"/>
        </w:rPr>
        <w:t>玉林市人民政府办公室关于印发《玉林市市长质量奖管理办法（</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年修订）的通知》（玉政办发〔</w:t>
      </w:r>
      <w:r>
        <w:rPr>
          <w:rFonts w:hint="default" w:ascii="Times New Roman" w:hAnsi="Times New Roman" w:eastAsia="仿宋_GB2312" w:cs="Times New Roman"/>
          <w:b/>
          <w:bCs/>
          <w:color w:val="auto"/>
          <w:sz w:val="32"/>
          <w:szCs w:val="32"/>
          <w:lang w:val="en-US" w:eastAsia="zh-CN"/>
        </w:rPr>
        <w:t>2023</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14</w:t>
      </w:r>
      <w:r>
        <w:rPr>
          <w:rFonts w:hint="eastAsia" w:ascii="仿宋_GB2312" w:hAnsi="仿宋_GB2312" w:eastAsia="仿宋_GB2312" w:cs="仿宋_GB2312"/>
          <w:b/>
          <w:bCs/>
          <w:color w:val="auto"/>
          <w:sz w:val="32"/>
          <w:szCs w:val="32"/>
          <w:lang w:val="en-US" w:eastAsia="zh-CN"/>
        </w:rPr>
        <w:t>号）</w:t>
      </w:r>
    </w:p>
    <w:p>
      <w:pPr>
        <w:numPr>
          <w:ilvl w:val="0"/>
          <w:numId w:val="0"/>
        </w:numPr>
        <w:jc w:val="both"/>
        <w:rPr>
          <w:rFonts w:hint="default" w:ascii="宋体" w:hAnsi="宋体" w:eastAsia="宋体" w:cs="宋体"/>
          <w:b w:val="0"/>
          <w:bCs w:val="0"/>
          <w:color w:val="auto"/>
          <w:sz w:val="28"/>
          <w:szCs w:val="28"/>
          <w:lang w:val="en-US" w:eastAsia="zh-CN"/>
        </w:rPr>
      </w:pPr>
    </w:p>
    <w:sectPr>
      <w:footerReference r:id="rId4" w:type="default"/>
      <w:pgSz w:w="11906" w:h="16838"/>
      <w:pgMar w:top="1701" w:right="1474" w:bottom="1417" w:left="1587" w:header="851" w:footer="90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0569E"/>
    <w:rsid w:val="005934E9"/>
    <w:rsid w:val="04CB3A6E"/>
    <w:rsid w:val="0541520D"/>
    <w:rsid w:val="062749A5"/>
    <w:rsid w:val="07F3076A"/>
    <w:rsid w:val="082A2C05"/>
    <w:rsid w:val="084110CC"/>
    <w:rsid w:val="08E67EC0"/>
    <w:rsid w:val="09C63687"/>
    <w:rsid w:val="0AD61B81"/>
    <w:rsid w:val="0BA56018"/>
    <w:rsid w:val="0BF216D1"/>
    <w:rsid w:val="0C165BDC"/>
    <w:rsid w:val="0D0E5602"/>
    <w:rsid w:val="0EE955EB"/>
    <w:rsid w:val="11251CE2"/>
    <w:rsid w:val="117315F5"/>
    <w:rsid w:val="117D68B3"/>
    <w:rsid w:val="13587554"/>
    <w:rsid w:val="138E2FF9"/>
    <w:rsid w:val="154C60B9"/>
    <w:rsid w:val="16D52730"/>
    <w:rsid w:val="16DF309E"/>
    <w:rsid w:val="17D71404"/>
    <w:rsid w:val="182D22D8"/>
    <w:rsid w:val="188D6399"/>
    <w:rsid w:val="19481E9C"/>
    <w:rsid w:val="1A88037E"/>
    <w:rsid w:val="1BDE6730"/>
    <w:rsid w:val="1C8623CC"/>
    <w:rsid w:val="1CA57769"/>
    <w:rsid w:val="1D4C5020"/>
    <w:rsid w:val="1E55777F"/>
    <w:rsid w:val="1F5D4DAE"/>
    <w:rsid w:val="1FD47FE6"/>
    <w:rsid w:val="1FF353B4"/>
    <w:rsid w:val="228C4950"/>
    <w:rsid w:val="23C71C0F"/>
    <w:rsid w:val="253D487F"/>
    <w:rsid w:val="2764572C"/>
    <w:rsid w:val="288A7DDB"/>
    <w:rsid w:val="2A68172A"/>
    <w:rsid w:val="2A6B59EA"/>
    <w:rsid w:val="2B4728B9"/>
    <w:rsid w:val="2BCA23E3"/>
    <w:rsid w:val="2CAB6572"/>
    <w:rsid w:val="2D6C14C5"/>
    <w:rsid w:val="2E601083"/>
    <w:rsid w:val="3077086E"/>
    <w:rsid w:val="31371783"/>
    <w:rsid w:val="3139239E"/>
    <w:rsid w:val="33EE0531"/>
    <w:rsid w:val="35971B29"/>
    <w:rsid w:val="37974E06"/>
    <w:rsid w:val="39E929DA"/>
    <w:rsid w:val="3AC03F2D"/>
    <w:rsid w:val="3D7A18AF"/>
    <w:rsid w:val="3DBC7EA9"/>
    <w:rsid w:val="3FB17197"/>
    <w:rsid w:val="42340B58"/>
    <w:rsid w:val="427F1BDB"/>
    <w:rsid w:val="46D02A05"/>
    <w:rsid w:val="47C33FEC"/>
    <w:rsid w:val="4B4109F4"/>
    <w:rsid w:val="4BB761E8"/>
    <w:rsid w:val="4CAF2089"/>
    <w:rsid w:val="4FA9473B"/>
    <w:rsid w:val="4FFA682C"/>
    <w:rsid w:val="53645841"/>
    <w:rsid w:val="55CA3A4B"/>
    <w:rsid w:val="57672F12"/>
    <w:rsid w:val="578F06BB"/>
    <w:rsid w:val="5B05440B"/>
    <w:rsid w:val="5B80569E"/>
    <w:rsid w:val="5BD44BA3"/>
    <w:rsid w:val="5E0314BA"/>
    <w:rsid w:val="5E174F66"/>
    <w:rsid w:val="5EFD37AD"/>
    <w:rsid w:val="5F385556"/>
    <w:rsid w:val="5F9F1B7C"/>
    <w:rsid w:val="623C3981"/>
    <w:rsid w:val="62D710A0"/>
    <w:rsid w:val="63692B3E"/>
    <w:rsid w:val="67DB6BBA"/>
    <w:rsid w:val="6AAC083E"/>
    <w:rsid w:val="6AF03059"/>
    <w:rsid w:val="6B090592"/>
    <w:rsid w:val="6D1D180E"/>
    <w:rsid w:val="6F354BEA"/>
    <w:rsid w:val="6FC414F8"/>
    <w:rsid w:val="70D16026"/>
    <w:rsid w:val="71D126D2"/>
    <w:rsid w:val="729924C2"/>
    <w:rsid w:val="73401623"/>
    <w:rsid w:val="7531763E"/>
    <w:rsid w:val="757D2809"/>
    <w:rsid w:val="774E045D"/>
    <w:rsid w:val="775070C7"/>
    <w:rsid w:val="7A1545F8"/>
    <w:rsid w:val="7A430D5C"/>
    <w:rsid w:val="7A6E5401"/>
    <w:rsid w:val="7CBD4AE7"/>
    <w:rsid w:val="7DB40EFC"/>
    <w:rsid w:val="7DE71E07"/>
    <w:rsid w:val="7E062BD5"/>
    <w:rsid w:val="7E350714"/>
    <w:rsid w:val="7FD85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line="490" w:lineRule="exact"/>
      <w:ind w:firstLine="600" w:firstLineChars="200"/>
      <w:jc w:val="both"/>
      <w:outlineLvl w:val="0"/>
    </w:pPr>
    <w:rPr>
      <w:rFonts w:hint="eastAsia" w:ascii="宋体" w:hAnsi="宋体" w:eastAsia="黑体" w:cs="宋体"/>
      <w:kern w:val="44"/>
      <w:sz w:val="32"/>
      <w:szCs w:val="48"/>
      <w:lang w:bidi="ar"/>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widowControl/>
      <w:spacing w:after="160" w:line="240" w:lineRule="exact"/>
      <w:jc w:val="left"/>
    </w:pPr>
    <w:rPr>
      <w:rFonts w:ascii="Verdana" w:hAnsi="Verdana"/>
      <w:kern w:val="0"/>
      <w:sz w:val="20"/>
      <w:szCs w:val="20"/>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qFormat/>
    <w:uiPriority w:val="0"/>
    <w:rPr>
      <w:rFonts w:ascii="方正黑体_GBK" w:eastAsia="方正黑体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24762</Words>
  <Characters>25898</Characters>
  <Lines>0</Lines>
  <Paragraphs>0</Paragraphs>
  <TotalTime>265</TotalTime>
  <ScaleCrop>false</ScaleCrop>
  <LinksUpToDate>false</LinksUpToDate>
  <CharactersWithSpaces>26056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2025-03-03T15:21:00Z</dcterms:created>
  <dc:creator>WPS_296286010</dc:creator>
  <cp:lastModifiedBy>gxxc</cp:lastModifiedBy>
  <cp:lastPrinted>2025-03-21T13:21:00Z</cp:lastPrinted>
  <dcterms:modified xsi:type="dcterms:W3CDTF">2025-06-26T15:32:13Z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56A5ACA3E002445BB3FFB1B5BA374A4F_13</vt:lpwstr>
  </property>
  <property fmtid="{D5CDD505-2E9C-101B-9397-08002B2CF9AE}" pid="4" name="KSOTemplateDocerSaveRecord">
    <vt:lpwstr>eyJoZGlkIjoiYzYwMDY2YWI2NWJhMDdkOWJkNDIzYTk0M2NjNWEyZGEiLCJ1c2VySWQiOiIyOTYyODYwMTAifQ==</vt:lpwstr>
  </property>
</Properties>
</file>